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ABA4" w14:textId="3757A10A" w:rsidR="00311A29" w:rsidRDefault="004B0DF5" w:rsidP="00311A29">
      <w:pPr>
        <w:spacing w:before="77" w:after="0" w:line="240" w:lineRule="auto"/>
        <w:ind w:right="841"/>
        <w:jc w:val="center"/>
        <w:rPr>
          <w:rFonts w:ascii="Arial" w:eastAsia="Arial" w:hAnsi="Arial" w:cs="Arial"/>
          <w:b/>
          <w:w w:val="108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63C91E7" wp14:editId="24072C46">
            <wp:simplePos x="0" y="0"/>
            <wp:positionH relativeFrom="margin">
              <wp:align>left</wp:align>
            </wp:positionH>
            <wp:positionV relativeFrom="paragraph">
              <wp:posOffset>360</wp:posOffset>
            </wp:positionV>
            <wp:extent cx="2122170" cy="408940"/>
            <wp:effectExtent l="0" t="0" r="0" b="0"/>
            <wp:wrapTight wrapText="bothSides">
              <wp:wrapPolygon edited="0">
                <wp:start x="0" y="0"/>
                <wp:lineTo x="0" y="20124"/>
                <wp:lineTo x="21329" y="20124"/>
                <wp:lineTo x="21329" y="0"/>
                <wp:lineTo x="0" y="0"/>
              </wp:wrapPolygon>
            </wp:wrapTight>
            <wp:docPr id="2" name="Picture 27" descr="NCC-l-head-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408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7681D6" wp14:editId="48655984">
            <wp:simplePos x="0" y="0"/>
            <wp:positionH relativeFrom="margin">
              <wp:align>right</wp:align>
            </wp:positionH>
            <wp:positionV relativeFrom="paragraph">
              <wp:posOffset>38</wp:posOffset>
            </wp:positionV>
            <wp:extent cx="1657985" cy="441960"/>
            <wp:effectExtent l="0" t="0" r="0" b="0"/>
            <wp:wrapTight wrapText="bothSides">
              <wp:wrapPolygon edited="0">
                <wp:start x="0" y="0"/>
                <wp:lineTo x="0" y="20483"/>
                <wp:lineTo x="21344" y="20483"/>
                <wp:lineTo x="213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0F7" w:rsidRPr="00C21215">
        <w:rPr>
          <w:rFonts w:ascii="Arial" w:eastAsia="Arial" w:hAnsi="Arial" w:cs="Arial"/>
          <w:b/>
          <w:w w:val="108"/>
          <w:sz w:val="28"/>
          <w:szCs w:val="28"/>
        </w:rPr>
        <w:t>N</w:t>
      </w:r>
      <w:r w:rsidR="00F23686" w:rsidRPr="00C21215">
        <w:rPr>
          <w:rFonts w:ascii="Arial" w:eastAsia="Arial" w:hAnsi="Arial" w:cs="Arial"/>
          <w:b/>
          <w:w w:val="108"/>
          <w:sz w:val="28"/>
          <w:szCs w:val="28"/>
        </w:rPr>
        <w:t>ottinghamshire Child</w:t>
      </w:r>
      <w:r w:rsidR="005B7808" w:rsidRPr="00C21215">
        <w:rPr>
          <w:rFonts w:ascii="Arial" w:eastAsia="Arial" w:hAnsi="Arial" w:cs="Arial"/>
          <w:b/>
          <w:w w:val="108"/>
          <w:sz w:val="28"/>
          <w:szCs w:val="28"/>
        </w:rPr>
        <w:t xml:space="preserve"> Protection and Confidential File</w:t>
      </w:r>
      <w:r w:rsidR="00EE4939">
        <w:rPr>
          <w:rFonts w:ascii="Arial" w:eastAsia="Arial" w:hAnsi="Arial" w:cs="Arial"/>
          <w:b/>
          <w:w w:val="108"/>
          <w:sz w:val="28"/>
          <w:szCs w:val="28"/>
        </w:rPr>
        <w:br/>
        <w:t>Auditing Tool 2025 – 20</w:t>
      </w:r>
      <w:r w:rsidR="00606E0B">
        <w:rPr>
          <w:rFonts w:ascii="Arial" w:eastAsia="Arial" w:hAnsi="Arial" w:cs="Arial"/>
          <w:b/>
          <w:w w:val="108"/>
          <w:sz w:val="28"/>
          <w:szCs w:val="28"/>
        </w:rPr>
        <w:t>26</w:t>
      </w:r>
    </w:p>
    <w:p w14:paraId="66BAA887" w14:textId="3A5CA867" w:rsidR="00606E0B" w:rsidRPr="002F44A2" w:rsidRDefault="00311A29" w:rsidP="00311A29">
      <w:pPr>
        <w:spacing w:before="77" w:after="0" w:line="240" w:lineRule="auto"/>
        <w:ind w:right="841"/>
        <w:rPr>
          <w:rFonts w:ascii="Arial" w:eastAsia="Arial" w:hAnsi="Arial" w:cs="Arial"/>
          <w:b/>
          <w:w w:val="108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br/>
      </w:r>
      <w:r w:rsidR="00606E0B" w:rsidRPr="007F74E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  <w:t>Before accessing the auditing tool</w:t>
      </w:r>
    </w:p>
    <w:p w14:paraId="5F1421DC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Purpose </w:t>
      </w:r>
      <w:r w:rsidRPr="00B92FCE">
        <w:rPr>
          <w:rFonts w:ascii="Arial" w:eastAsia="Times New Roman" w:hAnsi="Arial" w:cs="Arial"/>
          <w:color w:val="000000"/>
          <w:lang w:val="en-GB" w:eastAsia="en-GB"/>
        </w:rPr>
        <w:t>- This audit checks whether your setting’s child protection/confidential records are complete, timely, lawfully shared, and securely transferred—so leaders and governors can evidence compliance and reduce risk.</w:t>
      </w:r>
    </w:p>
    <w:p w14:paraId="6D3BBB43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Who should complete </w:t>
      </w:r>
      <w:r w:rsidRPr="00B92FCE">
        <w:rPr>
          <w:rFonts w:ascii="Arial" w:eastAsia="Times New Roman" w:hAnsi="Arial" w:cs="Arial"/>
          <w:color w:val="000000"/>
          <w:lang w:val="en-GB" w:eastAsia="en-GB"/>
        </w:rPr>
        <w:t>- The DSL or deputy leads the audit with the Head/Principal and a Governor/Trustee for assurance. We highly recommend that all users are familiar with all of the supporting document. Please ensure you have read and understood the following documents:</w:t>
      </w:r>
    </w:p>
    <w:p w14:paraId="278BFB7E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CP &amp; CF Transfer - Introductory Letter</w:t>
      </w:r>
    </w:p>
    <w:p w14:paraId="403BD7E1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CP &amp; CF Transfer - Supporting Audit Guidance</w:t>
      </w:r>
    </w:p>
    <w:p w14:paraId="52D5BB0A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CP &amp; CF Transfer - Transfer Guidance</w:t>
      </w:r>
    </w:p>
    <w:p w14:paraId="6C75427A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CP &amp; CF Transfer - Cross Authority Information Sharing</w:t>
      </w:r>
    </w:p>
    <w:p w14:paraId="0DB1B1C7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What to have ready - </w:t>
      </w:r>
    </w:p>
    <w:p w14:paraId="74FDDD7B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Your safeguarding policies (child protection; online safety; attendance/CME; AP), and any local procedures.</w:t>
      </w:r>
    </w:p>
    <w:p w14:paraId="4A26AEBF" w14:textId="77777777" w:rsidR="00B92FCE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Access to live CP/confidential files (paper/electronic), transfer records (in/out), information</w:t>
      </w:r>
      <w:r w:rsidRPr="00B92FCE">
        <w:rPr>
          <w:rFonts w:ascii="Cambria Math" w:eastAsia="Times New Roman" w:hAnsi="Cambria Math" w:cs="Cambria Math"/>
          <w:color w:val="000000"/>
          <w:lang w:val="en-GB" w:eastAsia="en-GB"/>
        </w:rPr>
        <w:t>‑</w:t>
      </w:r>
      <w:r w:rsidRPr="00B92FCE">
        <w:rPr>
          <w:rFonts w:ascii="Arial" w:eastAsia="Times New Roman" w:hAnsi="Arial" w:cs="Arial"/>
          <w:color w:val="000000"/>
          <w:lang w:val="en-GB" w:eastAsia="en-GB"/>
        </w:rPr>
        <w:t>sharing decisions, and DSL file QA notes.</w:t>
      </w:r>
    </w:p>
    <w:p w14:paraId="7FEF79E5" w14:textId="36E93EDF" w:rsidR="00606E0B" w:rsidRPr="00B92FCE" w:rsidRDefault="00B92FCE" w:rsidP="00B92FCE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B92FCE">
        <w:rPr>
          <w:rFonts w:ascii="Arial" w:eastAsia="Times New Roman" w:hAnsi="Arial" w:cs="Arial"/>
          <w:color w:val="000000"/>
          <w:lang w:val="en-GB" w:eastAsia="en-GB"/>
        </w:rPr>
        <w:t>- A quiet, secure space to review records without interruption; printing should be avoided unless necessary.</w:t>
      </w:r>
    </w:p>
    <w:p w14:paraId="16834AFD" w14:textId="77777777" w:rsidR="00311A29" w:rsidRDefault="00311A29" w:rsidP="00311A29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101185B" w14:textId="409A0419" w:rsidR="00311A29" w:rsidRPr="002F44A2" w:rsidRDefault="00311A29" w:rsidP="00311A29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</w:pPr>
      <w:r w:rsidRPr="002F44A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  <w:t xml:space="preserve">Sample </w:t>
      </w:r>
      <w:r w:rsidR="00F2568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  <w:t>b</w:t>
      </w:r>
      <w:r w:rsidRPr="002F44A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  <w:t>riefing</w:t>
      </w:r>
    </w:p>
    <w:p w14:paraId="209A0641" w14:textId="77777777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b/>
          <w:bCs/>
          <w:color w:val="000000"/>
          <w:lang w:val="en-GB" w:eastAsia="en-GB"/>
        </w:rPr>
        <w:t>In primary settings</w:t>
      </w:r>
      <w:r w:rsidRPr="002F44A2">
        <w:rPr>
          <w:rFonts w:ascii="Arial" w:eastAsia="Times New Roman" w:hAnsi="Arial" w:cs="Arial"/>
          <w:color w:val="000000"/>
          <w:lang w:val="en-GB" w:eastAsia="en-GB"/>
        </w:rPr>
        <w:t>, review one file per year group (use two if a larger primary setting)</w:t>
      </w:r>
    </w:p>
    <w:p w14:paraId="4FEEB378" w14:textId="77777777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b/>
          <w:bCs/>
          <w:color w:val="000000"/>
          <w:lang w:val="en-GB" w:eastAsia="en-GB"/>
        </w:rPr>
        <w:t>In secondary</w:t>
      </w:r>
      <w:r w:rsidRPr="002F44A2">
        <w:rPr>
          <w:rFonts w:ascii="Arial" w:eastAsia="Times New Roman" w:hAnsi="Arial" w:cs="Arial"/>
          <w:color w:val="000000"/>
          <w:lang w:val="en-GB" w:eastAsia="en-GB"/>
        </w:rPr>
        <w:t>, review around three files per year group (Years 7–11, and post</w:t>
      </w:r>
      <w:r w:rsidRPr="002F44A2">
        <w:rPr>
          <w:rFonts w:ascii="Cambria Math" w:eastAsia="Times New Roman" w:hAnsi="Cambria Math" w:cs="Cambria Math"/>
          <w:color w:val="000000"/>
          <w:lang w:val="en-GB" w:eastAsia="en-GB"/>
        </w:rPr>
        <w:t>‑</w:t>
      </w:r>
      <w:r w:rsidRPr="002F44A2">
        <w:rPr>
          <w:rFonts w:ascii="Arial" w:eastAsia="Times New Roman" w:hAnsi="Arial" w:cs="Arial"/>
          <w:color w:val="000000"/>
          <w:lang w:val="en-GB" w:eastAsia="en-GB"/>
        </w:rPr>
        <w:t xml:space="preserve">16 where applicable). </w:t>
      </w:r>
    </w:p>
    <w:p w14:paraId="139CF332" w14:textId="027E817B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 xml:space="preserve">Always include: </w:t>
      </w:r>
    </w:p>
    <w:p w14:paraId="072A8635" w14:textId="77777777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>- At least one child open or recently closed to social care</w:t>
      </w:r>
    </w:p>
    <w:p w14:paraId="056B45D9" w14:textId="77777777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>- One recent transfer in and one transfer out (to check timeliness, secure transit and receipt)</w:t>
      </w:r>
    </w:p>
    <w:p w14:paraId="7F6337D9" w14:textId="77777777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 xml:space="preserve">- Any AP placement you commission. </w:t>
      </w:r>
    </w:p>
    <w:p w14:paraId="06C30E75" w14:textId="254923E9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>Where present, add one case involving persistent absence/CME or EHE roll deletion to confirm early help/escalation and LA notification, and one child</w:t>
      </w:r>
      <w:r w:rsidRPr="002F44A2">
        <w:rPr>
          <w:rFonts w:ascii="Cambria Math" w:eastAsia="Times New Roman" w:hAnsi="Cambria Math" w:cs="Cambria Math"/>
          <w:color w:val="000000"/>
          <w:lang w:val="en-GB" w:eastAsia="en-GB"/>
        </w:rPr>
        <w:t>‑</w:t>
      </w:r>
      <w:r w:rsidRPr="002F44A2">
        <w:rPr>
          <w:rFonts w:ascii="Arial" w:eastAsia="Times New Roman" w:hAnsi="Arial" w:cs="Arial"/>
          <w:color w:val="000000"/>
          <w:lang w:val="en-GB" w:eastAsia="en-GB"/>
        </w:rPr>
        <w:t>on</w:t>
      </w:r>
      <w:r w:rsidRPr="002F44A2">
        <w:rPr>
          <w:rFonts w:ascii="Cambria Math" w:eastAsia="Times New Roman" w:hAnsi="Cambria Math" w:cs="Cambria Math"/>
          <w:color w:val="000000"/>
          <w:lang w:val="en-GB" w:eastAsia="en-GB"/>
        </w:rPr>
        <w:t>‑</w:t>
      </w:r>
      <w:r w:rsidRPr="002F44A2">
        <w:rPr>
          <w:rFonts w:ascii="Arial" w:eastAsia="Times New Roman" w:hAnsi="Arial" w:cs="Arial"/>
          <w:color w:val="000000"/>
          <w:lang w:val="en-GB" w:eastAsia="en-GB"/>
        </w:rPr>
        <w:t>child SV/SH case to confirm factual notes and risk/needs assessment.</w:t>
      </w:r>
    </w:p>
    <w:p w14:paraId="3224561C" w14:textId="77777777" w:rsidR="002F44A2" w:rsidRPr="002F44A2" w:rsidRDefault="002F44A2" w:rsidP="002F44A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>If you find consistent good practice, keep future samples light; if you find gaps, unclear rationales or late transfers, expand immediately (e.g., +1 file per year group) and schedule follow</w:t>
      </w:r>
      <w:r w:rsidRPr="002F44A2">
        <w:rPr>
          <w:rFonts w:ascii="Cambria Math" w:eastAsia="Times New Roman" w:hAnsi="Cambria Math" w:cs="Cambria Math"/>
          <w:color w:val="000000"/>
          <w:lang w:val="en-GB" w:eastAsia="en-GB"/>
        </w:rPr>
        <w:t>‑</w:t>
      </w:r>
      <w:r w:rsidRPr="002F44A2">
        <w:rPr>
          <w:rFonts w:ascii="Arial" w:eastAsia="Times New Roman" w:hAnsi="Arial" w:cs="Arial"/>
          <w:color w:val="000000"/>
          <w:lang w:val="en-GB" w:eastAsia="en-GB"/>
        </w:rPr>
        <w:t xml:space="preserve">up monitoring. </w:t>
      </w:r>
    </w:p>
    <w:p w14:paraId="197B1200" w14:textId="297B2711" w:rsidR="009A1556" w:rsidRDefault="002F44A2" w:rsidP="007F74E4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lang w:val="en-GB" w:eastAsia="en-GB"/>
        </w:rPr>
      </w:pPr>
      <w:r w:rsidRPr="002F44A2">
        <w:rPr>
          <w:rFonts w:ascii="Arial" w:eastAsia="Times New Roman" w:hAnsi="Arial" w:cs="Arial"/>
          <w:color w:val="000000"/>
          <w:lang w:val="en-GB" w:eastAsia="en-GB"/>
        </w:rPr>
        <w:t>Record file IDs/initials only, work in a secure space, and escalate immediately if you identify any live safeguarding risk.</w:t>
      </w:r>
    </w:p>
    <w:p w14:paraId="14A8C5B5" w14:textId="77777777" w:rsidR="00250C71" w:rsidRDefault="00250C71" w:rsidP="007F74E4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2DBF0986" w14:textId="77777777" w:rsidR="00250C71" w:rsidRDefault="00250C71" w:rsidP="007F74E4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04CD53CE" w14:textId="29B55D0A" w:rsidR="00F25689" w:rsidRDefault="00F25689" w:rsidP="007F74E4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  <w:lastRenderedPageBreak/>
        <w:t>How to use the auditing tool</w:t>
      </w:r>
    </w:p>
    <w:p w14:paraId="731875D6" w14:textId="40D42A1C" w:rsidR="001A58D4" w:rsidRPr="001A58D4" w:rsidRDefault="001A58D4" w:rsidP="001A58D4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1A58D4">
        <w:rPr>
          <w:rFonts w:ascii="Arial" w:eastAsia="Times New Roman" w:hAnsi="Arial" w:cs="Arial"/>
          <w:color w:val="000000"/>
          <w:lang w:val="en-GB" w:eastAsia="en-GB"/>
        </w:rPr>
        <w:t>Select the file you are auditing and have this ready to inspect.</w:t>
      </w:r>
    </w:p>
    <w:p w14:paraId="63AAF413" w14:textId="14FC3C0D" w:rsidR="001A58D4" w:rsidRPr="001A58D4" w:rsidRDefault="001A58D4" w:rsidP="001A58D4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1A58D4">
        <w:rPr>
          <w:rFonts w:ascii="Arial" w:eastAsia="Times New Roman" w:hAnsi="Arial" w:cs="Arial"/>
          <w:color w:val="000000"/>
          <w:lang w:val="en-GB" w:eastAsia="en-GB"/>
        </w:rPr>
        <w:t xml:space="preserve">Work through the 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audit </w:t>
      </w:r>
      <w:r w:rsidRPr="001A58D4">
        <w:rPr>
          <w:rFonts w:ascii="Arial" w:eastAsia="Times New Roman" w:hAnsi="Arial" w:cs="Arial"/>
          <w:color w:val="000000"/>
          <w:lang w:val="en-GB" w:eastAsia="en-GB"/>
        </w:rPr>
        <w:t>a section at a time checking evidence not intention. For each item, verify what is on file not what was intended to be put on the file.</w:t>
      </w:r>
    </w:p>
    <w:p w14:paraId="63FEC335" w14:textId="77777777" w:rsidR="00250C71" w:rsidRDefault="00563DB1" w:rsidP="001A58D4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>
        <w:rPr>
          <w:rFonts w:ascii="Arial" w:eastAsia="Times New Roman" w:hAnsi="Arial" w:cs="Arial"/>
          <w:color w:val="000000"/>
          <w:lang w:val="en-GB" w:eastAsia="en-GB"/>
        </w:rPr>
        <w:t>Use a code such as RAG rating or Yes, N</w:t>
      </w:r>
      <w:r w:rsidR="001A58D4" w:rsidRPr="001A58D4">
        <w:rPr>
          <w:rFonts w:ascii="Arial" w:eastAsia="Times New Roman" w:hAnsi="Arial" w:cs="Arial"/>
          <w:color w:val="000000"/>
          <w:lang w:val="en-GB" w:eastAsia="en-GB"/>
        </w:rPr>
        <w:t xml:space="preserve">o, </w:t>
      </w:r>
      <w:r>
        <w:rPr>
          <w:rFonts w:ascii="Arial" w:eastAsia="Times New Roman" w:hAnsi="Arial" w:cs="Arial"/>
          <w:color w:val="000000"/>
          <w:lang w:val="en-GB" w:eastAsia="en-GB"/>
        </w:rPr>
        <w:t>P</w:t>
      </w:r>
      <w:r w:rsidR="001A58D4" w:rsidRPr="001A58D4">
        <w:rPr>
          <w:rFonts w:ascii="Arial" w:eastAsia="Times New Roman" w:hAnsi="Arial" w:cs="Arial"/>
          <w:color w:val="000000"/>
          <w:lang w:val="en-GB" w:eastAsia="en-GB"/>
        </w:rPr>
        <w:t xml:space="preserve">artial 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to show you meet the statement. Ensure you only use </w:t>
      </w:r>
      <w:r w:rsidR="00250C71">
        <w:rPr>
          <w:rFonts w:ascii="Arial" w:eastAsia="Times New Roman" w:hAnsi="Arial" w:cs="Arial"/>
          <w:color w:val="000000"/>
          <w:lang w:val="en-GB" w:eastAsia="en-GB"/>
        </w:rPr>
        <w:t>only</w:t>
      </w:r>
      <w:r w:rsidR="001A58D4" w:rsidRPr="001A58D4">
        <w:rPr>
          <w:rFonts w:ascii="Arial" w:eastAsia="Times New Roman" w:hAnsi="Arial" w:cs="Arial"/>
          <w:color w:val="000000"/>
          <w:lang w:val="en-GB" w:eastAsia="en-GB"/>
        </w:rPr>
        <w:t xml:space="preserve"> file ID's (or initials) rathe</w:t>
      </w:r>
      <w:r>
        <w:rPr>
          <w:rFonts w:ascii="Arial" w:eastAsia="Times New Roman" w:hAnsi="Arial" w:cs="Arial"/>
          <w:color w:val="000000"/>
          <w:lang w:val="en-GB" w:eastAsia="en-GB"/>
        </w:rPr>
        <w:t>r</w:t>
      </w:r>
      <w:r w:rsidR="001A58D4" w:rsidRPr="001A58D4">
        <w:rPr>
          <w:rFonts w:ascii="Arial" w:eastAsia="Times New Roman" w:hAnsi="Arial" w:cs="Arial"/>
          <w:color w:val="000000"/>
          <w:lang w:val="en-GB" w:eastAsia="en-GB"/>
        </w:rPr>
        <w:t xml:space="preserve"> than names. Where partial, or not compliant, write your action to </w:t>
      </w:r>
      <w:r w:rsidRPr="001A58D4">
        <w:rPr>
          <w:rFonts w:ascii="Arial" w:eastAsia="Times New Roman" w:hAnsi="Arial" w:cs="Arial"/>
          <w:color w:val="000000"/>
          <w:lang w:val="en-GB" w:eastAsia="en-GB"/>
        </w:rPr>
        <w:t>address</w:t>
      </w:r>
      <w:r w:rsidR="001A58D4" w:rsidRPr="001A58D4">
        <w:rPr>
          <w:rFonts w:ascii="Arial" w:eastAsia="Times New Roman" w:hAnsi="Arial" w:cs="Arial"/>
          <w:color w:val="000000"/>
          <w:lang w:val="en-GB" w:eastAsia="en-GB"/>
        </w:rPr>
        <w:t xml:space="preserve"> this followed by the date this will done by and who is </w:t>
      </w:r>
      <w:r w:rsidRPr="001A58D4">
        <w:rPr>
          <w:rFonts w:ascii="Arial" w:eastAsia="Times New Roman" w:hAnsi="Arial" w:cs="Arial"/>
          <w:color w:val="000000"/>
          <w:lang w:val="en-GB" w:eastAsia="en-GB"/>
        </w:rPr>
        <w:t>responsible</w:t>
      </w:r>
      <w:r w:rsidR="001A58D4" w:rsidRPr="001A58D4">
        <w:rPr>
          <w:rFonts w:ascii="Arial" w:eastAsia="Times New Roman" w:hAnsi="Arial" w:cs="Arial"/>
          <w:color w:val="000000"/>
          <w:lang w:val="en-GB" w:eastAsia="en-GB"/>
        </w:rPr>
        <w:t xml:space="preserve"> for this.</w:t>
      </w:r>
    </w:p>
    <w:p w14:paraId="24A5FC9C" w14:textId="0A3F06A3" w:rsidR="00250C71" w:rsidRDefault="001A58D4" w:rsidP="001A58D4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1A58D4">
        <w:rPr>
          <w:rFonts w:ascii="Arial" w:eastAsia="Times New Roman" w:hAnsi="Arial" w:cs="Arial"/>
          <w:color w:val="000000"/>
          <w:lang w:val="en-GB" w:eastAsia="en-GB"/>
        </w:rPr>
        <w:t xml:space="preserve">When complete sign off using the final page. </w:t>
      </w:r>
    </w:p>
    <w:p w14:paraId="09CEB123" w14:textId="25CBAA82" w:rsidR="00F044EB" w:rsidRDefault="00F044EB" w:rsidP="001A58D4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>
        <w:rPr>
          <w:rFonts w:ascii="Arial" w:eastAsia="Times New Roman" w:hAnsi="Arial" w:cs="Arial"/>
          <w:color w:val="000000"/>
          <w:lang w:val="en-GB" w:eastAsia="en-GB"/>
        </w:rPr>
        <w:t>At the end of the audit is an action plan. This will not auto populate, but you can use this table to keep actions together rather than across multiple pages.</w:t>
      </w:r>
      <w:r w:rsidR="00D13B58">
        <w:rPr>
          <w:rFonts w:ascii="Arial" w:eastAsia="Times New Roman" w:hAnsi="Arial" w:cs="Arial"/>
          <w:color w:val="000000"/>
          <w:lang w:val="en-GB" w:eastAsia="en-GB"/>
        </w:rPr>
        <w:t xml:space="preserve"> To efficiently use this action plan, please delete the rows for the statements that have no actions against</w:t>
      </w:r>
      <w:r w:rsidR="009D4612">
        <w:rPr>
          <w:rFonts w:ascii="Arial" w:eastAsia="Times New Roman" w:hAnsi="Arial" w:cs="Arial"/>
          <w:color w:val="000000"/>
          <w:lang w:val="en-GB" w:eastAsia="en-GB"/>
        </w:rPr>
        <w:t xml:space="preserve"> and copy actions for the correct statements into the relevant rows.</w:t>
      </w:r>
    </w:p>
    <w:p w14:paraId="4CB3FC7A" w14:textId="77777777" w:rsidR="00F044EB" w:rsidRDefault="00F044EB" w:rsidP="001A58D4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</w:p>
    <w:p w14:paraId="2C168ED8" w14:textId="1CAEDEAE" w:rsidR="00250C71" w:rsidRDefault="00250C71" w:rsidP="001A58D4">
      <w:pPr>
        <w:spacing w:before="77" w:after="0" w:line="240" w:lineRule="auto"/>
        <w:ind w:right="841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en-GB"/>
        </w:rPr>
        <w:t>Storing and saving</w:t>
      </w:r>
    </w:p>
    <w:p w14:paraId="080A2962" w14:textId="77777777" w:rsidR="00EF19B2" w:rsidRPr="00EF19B2" w:rsidRDefault="00EF19B2" w:rsidP="00EF19B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EF19B2">
        <w:rPr>
          <w:rFonts w:ascii="Arial" w:eastAsia="Times New Roman" w:hAnsi="Arial" w:cs="Arial"/>
          <w:color w:val="000000"/>
          <w:lang w:val="en-GB" w:eastAsia="en-GB"/>
        </w:rPr>
        <w:t>Save the completed audit tool for each case sample in your secure drive/location.</w:t>
      </w:r>
    </w:p>
    <w:p w14:paraId="6D6C87FE" w14:textId="77777777" w:rsidR="00EF19B2" w:rsidRPr="00EF19B2" w:rsidRDefault="00EF19B2" w:rsidP="00EF19B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EF19B2">
        <w:rPr>
          <w:rFonts w:ascii="Arial" w:eastAsia="Times New Roman" w:hAnsi="Arial" w:cs="Arial"/>
          <w:color w:val="000000"/>
          <w:lang w:val="en-GB" w:eastAsia="en-GB"/>
        </w:rPr>
        <w:t>Do not store copies of full CP records with the audit; keep them in their existing secure repository (paper or system).</w:t>
      </w:r>
    </w:p>
    <w:p w14:paraId="53714E8D" w14:textId="77777777" w:rsidR="00EF19B2" w:rsidRPr="00EF19B2" w:rsidRDefault="00EF19B2" w:rsidP="00EF19B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EF19B2">
        <w:rPr>
          <w:rFonts w:ascii="Arial" w:eastAsia="Times New Roman" w:hAnsi="Arial" w:cs="Arial"/>
          <w:color w:val="000000"/>
          <w:lang w:val="en-GB" w:eastAsia="en-GB"/>
        </w:rPr>
        <w:t>Retain the audit and action plan as part of your termly governance oversight. When actions are complete, update audit and mark the date.</w:t>
      </w:r>
    </w:p>
    <w:p w14:paraId="04FF1627" w14:textId="61B67C22" w:rsidR="00F044EB" w:rsidRDefault="00EF19B2" w:rsidP="00EF19B2">
      <w:pPr>
        <w:spacing w:before="77" w:after="0" w:line="240" w:lineRule="auto"/>
        <w:ind w:right="841"/>
        <w:rPr>
          <w:rFonts w:ascii="Arial" w:eastAsia="Times New Roman" w:hAnsi="Arial" w:cs="Arial"/>
          <w:color w:val="000000"/>
          <w:lang w:val="en-GB" w:eastAsia="en-GB"/>
        </w:rPr>
      </w:pPr>
      <w:r w:rsidRPr="00EF19B2">
        <w:rPr>
          <w:rFonts w:ascii="Arial" w:eastAsia="Times New Roman" w:hAnsi="Arial" w:cs="Arial"/>
          <w:color w:val="000000"/>
          <w:lang w:val="en-GB" w:eastAsia="en-GB"/>
        </w:rPr>
        <w:t>If staff changes occur (DSL/deputy), ensure a handover note points to the latest audit and action plan.</w:t>
      </w:r>
    </w:p>
    <w:p w14:paraId="1E30809D" w14:textId="45C2CF7E" w:rsidR="00EF19B2" w:rsidRDefault="00EF19B2">
      <w:pPr>
        <w:rPr>
          <w:rFonts w:ascii="Arial" w:eastAsia="Times New Roman" w:hAnsi="Arial" w:cs="Arial"/>
          <w:color w:val="000000"/>
          <w:lang w:val="en-GB" w:eastAsia="en-GB"/>
        </w:rPr>
      </w:pPr>
      <w:r>
        <w:rPr>
          <w:rFonts w:ascii="Arial" w:eastAsia="Times New Roman" w:hAnsi="Arial" w:cs="Arial"/>
          <w:color w:val="000000"/>
          <w:lang w:val="en-GB" w:eastAsia="en-GB"/>
        </w:rPr>
        <w:br w:type="page"/>
      </w:r>
    </w:p>
    <w:tbl>
      <w:tblPr>
        <w:tblW w:w="15245" w:type="dxa"/>
        <w:tblInd w:w="-5" w:type="dxa"/>
        <w:tblLook w:val="04A0" w:firstRow="1" w:lastRow="0" w:firstColumn="1" w:lastColumn="0" w:noHBand="0" w:noVBand="1"/>
      </w:tblPr>
      <w:tblGrid>
        <w:gridCol w:w="2146"/>
        <w:gridCol w:w="3808"/>
        <w:gridCol w:w="1014"/>
        <w:gridCol w:w="4514"/>
        <w:gridCol w:w="3763"/>
      </w:tblGrid>
      <w:tr w:rsidR="006D7D0E" w:rsidRPr="006D7D0E" w14:paraId="008351B5" w14:textId="77777777" w:rsidTr="00EE1ABD">
        <w:trPr>
          <w:trHeight w:val="310"/>
        </w:trPr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115E873" w14:textId="674A65FD" w:rsidR="006D7D0E" w:rsidRPr="00962CE4" w:rsidRDefault="00EE1ABD" w:rsidP="00EE1ABD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62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File Set Up &amp; Signposting</w:t>
            </w:r>
          </w:p>
        </w:tc>
      </w:tr>
      <w:tr w:rsidR="006D7D0E" w:rsidRPr="006D7D0E" w14:paraId="0C875F5F" w14:textId="77777777" w:rsidTr="008A204D">
        <w:trPr>
          <w:trHeight w:val="31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D29A" w14:textId="77777777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9EB" w14:textId="77777777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239D" w14:textId="77777777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38FD" w14:textId="5D084F18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Actions - lead name and date to achieve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4F6" w14:textId="77777777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6D7D0E" w:rsidRPr="006D7D0E" w14:paraId="63E1F804" w14:textId="77777777" w:rsidTr="008A204D">
        <w:trPr>
          <w:trHeight w:val="17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765C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Main pupil file clearly signposts that a confidential/child protection file exists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7FC4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Look for a consistent visual marker on the main file (e.g., a red “C” or agreed symbol) and cross</w:t>
            </w: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noBreakHyphen/>
              <w:t>reference that a separate CP/confidential file exists per policy. Governors shouldn’t read full sensitive content; they verify process and signposting only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B99" w14:textId="46C57859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3BAB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D5DB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D7D0E" w:rsidRPr="006D7D0E" w14:paraId="0D374466" w14:textId="77777777" w:rsidTr="008A204D">
        <w:trPr>
          <w:trHeight w:val="17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99E7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All confidential content removed from the main pupil file and held only in the confidential/CP file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4B3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Check that sensitive records are not duplicated in the main pupil file; CP/confidential material should be contained in the designated file and stored securely, in line with data protection principles and KCSIE record</w:t>
            </w: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noBreakHyphen/>
              <w:t>keeping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F283" w14:textId="20A6C793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379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AC6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D7D0E" w:rsidRPr="006D7D0E" w14:paraId="033C538A" w14:textId="77777777" w:rsidTr="008A204D">
        <w:trPr>
          <w:trHeight w:val="177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80F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Current Front Sheet present and complete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BA79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Confirm the front sheet includes child details, parents/carers, key professionals (e.g., social worker, Virtual School, SENCO), legal status (if LAC/PLAC), and is kept up to date (including on systems like CPOMS/MyConcern)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153" w14:textId="394312B1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4DED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4F98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6D7D0E" w:rsidRPr="006D7D0E" w14:paraId="37C43AC0" w14:textId="77777777" w:rsidTr="008A204D">
        <w:trPr>
          <w:trHeight w:val="181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7607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Running chronology exists and shows transfer from main file when threshold was reached/opened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A6B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Review a clear timeline of concerns/actions, starting from early entries and continuing once the CP/confidential file is opened. Chronology should summarise events, decisions, and outcomes in line with KCSIE record</w:t>
            </w: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noBreakHyphen/>
              <w:t>keeping expectations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D79" w14:textId="5D30E44B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8CA8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F30E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D7D0E" w:rsidRPr="006D7D0E" w14:paraId="4B128217" w14:textId="77777777" w:rsidTr="008A204D">
        <w:trPr>
          <w:trHeight w:val="15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A958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Access controls and secure storage are evident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DC2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Check who can access the CP/confidential file, how access is controlled, and where the file is stored. Verify secure, confidential handling aligned to UK GDPR/DPA and KCSIE Part Two (information security)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776" w14:textId="37B302D7" w:rsidR="006D7D0E" w:rsidRPr="006D7D0E" w:rsidRDefault="006D7D0E" w:rsidP="006D7D0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353F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8163" w14:textId="77777777" w:rsidR="006D7D0E" w:rsidRPr="006D7D0E" w:rsidRDefault="006D7D0E" w:rsidP="006D7D0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4523327B" w14:textId="7BD28E3C" w:rsidR="008A204D" w:rsidRDefault="008A204D" w:rsidP="008A204D">
      <w:pPr>
        <w:tabs>
          <w:tab w:val="left" w:pos="4737"/>
        </w:tabs>
        <w:rPr>
          <w:rFonts w:ascii="Arial" w:eastAsia="Times New Roman" w:hAnsi="Arial" w:cs="Arial"/>
          <w:lang w:val="en-GB" w:eastAsia="en-GB"/>
        </w:rPr>
      </w:pPr>
    </w:p>
    <w:tbl>
      <w:tblPr>
        <w:tblW w:w="15245" w:type="dxa"/>
        <w:tblInd w:w="-5" w:type="dxa"/>
        <w:tblLook w:val="04A0" w:firstRow="1" w:lastRow="0" w:firstColumn="1" w:lastColumn="0" w:noHBand="0" w:noVBand="1"/>
      </w:tblPr>
      <w:tblGrid>
        <w:gridCol w:w="2335"/>
        <w:gridCol w:w="4895"/>
        <w:gridCol w:w="992"/>
        <w:gridCol w:w="4536"/>
        <w:gridCol w:w="2487"/>
      </w:tblGrid>
      <w:tr w:rsidR="008A204D" w:rsidRPr="006D7D0E" w14:paraId="27CDD12B" w14:textId="77777777" w:rsidTr="005E5CEE">
        <w:trPr>
          <w:trHeight w:val="310"/>
        </w:trPr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EE16432" w14:textId="3A7579A7" w:rsidR="008A204D" w:rsidRPr="00962CE4" w:rsidRDefault="00D06F52" w:rsidP="005E5CE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Quality of Recording</w:t>
            </w:r>
          </w:p>
        </w:tc>
      </w:tr>
      <w:tr w:rsidR="00D06F52" w:rsidRPr="006D7D0E" w14:paraId="02127DA0" w14:textId="77777777" w:rsidTr="00D06F52">
        <w:trPr>
          <w:trHeight w:val="31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3F8" w14:textId="77777777" w:rsidR="008A204D" w:rsidRPr="006D7D0E" w:rsidRDefault="008A204D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04C" w14:textId="77777777" w:rsidR="008A204D" w:rsidRPr="006D7D0E" w:rsidRDefault="008A204D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2E14" w14:textId="77777777" w:rsidR="008A204D" w:rsidRPr="006D7D0E" w:rsidRDefault="008A204D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B9D0" w14:textId="22F13BEE" w:rsidR="008A204D" w:rsidRPr="006D7D0E" w:rsidRDefault="008A204D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Actions - lead </w:t>
            </w:r>
            <w:r w:rsidR="00D06F5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and </w:t>
            </w: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 to achieve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6D7" w14:textId="77777777" w:rsidR="008A204D" w:rsidRPr="006D7D0E" w:rsidRDefault="008A204D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D06F52" w:rsidRPr="006D7D0E" w14:paraId="45511057" w14:textId="77777777" w:rsidTr="00D06F52">
        <w:trPr>
          <w:trHeight w:val="17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C99" w14:textId="6C6B3D2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Every entry is dated, time-stamped, and attributable (name/role); entries are factual, concise, and legible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D945" w14:textId="0A4E21B6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Sampling entries should show date/time, author’s name/role, and objective, evidence based notes. KCSIE highlights the need to record concerns, follow up, decisions and rationale.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2C0B" w14:textId="77777777" w:rsidR="00D06F52" w:rsidRPr="006D7D0E" w:rsidRDefault="00D06F52" w:rsidP="00D06F5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8521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0261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D06F52" w:rsidRPr="006D7D0E" w14:paraId="2A236C1D" w14:textId="77777777" w:rsidTr="00D06F52">
        <w:trPr>
          <w:trHeight w:val="17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AFEC" w14:textId="4BF51B28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DSL oversight and supervision are evidenced in the file, including routinely reviews and ownership of risk status and next steps.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42B" w14:textId="7D7855BF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 xml:space="preserve">Look for regular, dated DSL review/supervision notes that show the DSL has sighted the record, set a clear rationale (“what/why”), and assigned owner and deadline (“who/by when”). </w:t>
            </w:r>
            <w:r w:rsidRPr="00D06F52">
              <w:rPr>
                <w:rFonts w:ascii="Arial" w:hAnsi="Arial" w:cs="Arial"/>
                <w:color w:val="000000"/>
              </w:rPr>
              <w:br/>
            </w:r>
            <w:r w:rsidRPr="00D06F52">
              <w:rPr>
                <w:rFonts w:ascii="Arial" w:hAnsi="Arial" w:cs="Arial"/>
                <w:color w:val="000000"/>
              </w:rPr>
              <w:br/>
              <w:t>Entries should evidence information sharing/liaison with other agencies and any escalation decisions, consistent with Annex C of KCSIE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A85" w14:textId="77777777" w:rsidR="00D06F52" w:rsidRPr="006D7D0E" w:rsidRDefault="00D06F52" w:rsidP="00D06F5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34B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0CF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D06F52" w:rsidRPr="006D7D0E" w14:paraId="0D231C28" w14:textId="77777777" w:rsidTr="00D06F52">
        <w:trPr>
          <w:trHeight w:val="177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5221" w14:textId="69889016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Incident/concern templates (or system equivalent) are used consistently.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7B4D" w14:textId="77DFB235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Check that staff use the agreed incident/concern forms (or CPOMS/MyConcern equivalents) and that essential fields are completed (child context, concern summary, action taken)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578" w14:textId="77777777" w:rsidR="00D06F52" w:rsidRPr="006D7D0E" w:rsidRDefault="00D06F52" w:rsidP="00D06F5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4709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E0F6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D06F52" w:rsidRPr="006D7D0E" w14:paraId="7D00C67C" w14:textId="77777777" w:rsidTr="00D06F52">
        <w:trPr>
          <w:trHeight w:val="181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565" w14:textId="1E172580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Original contemporaneous notes (where made) are retained and cross-referenced to formal records.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345" w14:textId="059E107C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Verify any raw notes are preserved (dated/attributed) and linked to formal write ups. This supports audit trails and addresses learning from serious case reviews on record quality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504" w14:textId="77777777" w:rsidR="00D06F52" w:rsidRPr="006D7D0E" w:rsidRDefault="00D06F52" w:rsidP="00D06F5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1A53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9CF9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D06F52" w:rsidRPr="006D7D0E" w14:paraId="09082C73" w14:textId="77777777" w:rsidTr="00D06F52">
        <w:trPr>
          <w:trHeight w:val="158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E92" w14:textId="23976FAF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>Child’s voice and parental contact (including decisions not to inform, with rationale) are recorded where relevant.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3B2" w14:textId="65876404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D06F52">
              <w:rPr>
                <w:rFonts w:ascii="Arial" w:hAnsi="Arial" w:cs="Arial"/>
                <w:color w:val="000000"/>
              </w:rPr>
              <w:t xml:space="preserve">Records should evidence the child’s wishes/feelings and parental engagement decisions, with clear reasoning when parents aren’t informed, consistent with KCSIE’s child </w:t>
            </w:r>
            <w:r w:rsidR="007E2942" w:rsidRPr="00D06F52">
              <w:rPr>
                <w:rFonts w:ascii="Arial" w:hAnsi="Arial" w:cs="Arial"/>
                <w:color w:val="000000"/>
              </w:rPr>
              <w:t>centered</w:t>
            </w:r>
            <w:r w:rsidRPr="00D06F52">
              <w:rPr>
                <w:rFonts w:ascii="Arial" w:hAnsi="Arial" w:cs="Arial"/>
                <w:color w:val="000000"/>
              </w:rPr>
              <w:t xml:space="preserve"> approach and confidentiality guidance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02B" w14:textId="77777777" w:rsidR="00D06F52" w:rsidRPr="006D7D0E" w:rsidRDefault="00D06F52" w:rsidP="00D06F5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BDC8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544E" w14:textId="77777777" w:rsidR="00D06F52" w:rsidRPr="006D7D0E" w:rsidRDefault="00D06F52" w:rsidP="00D06F5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5E80E532" w14:textId="0AF0E1E2" w:rsidR="0080694F" w:rsidRDefault="0080694F">
      <w:pPr>
        <w:rPr>
          <w:rFonts w:ascii="Arial" w:eastAsia="Times New Roman" w:hAnsi="Arial" w:cs="Arial"/>
          <w:lang w:val="en-GB" w:eastAsia="en-GB"/>
        </w:rPr>
      </w:pPr>
    </w:p>
    <w:tbl>
      <w:tblPr>
        <w:tblW w:w="15245" w:type="dxa"/>
        <w:tblInd w:w="-5" w:type="dxa"/>
        <w:tblLook w:val="04A0" w:firstRow="1" w:lastRow="0" w:firstColumn="1" w:lastColumn="0" w:noHBand="0" w:noVBand="1"/>
      </w:tblPr>
      <w:tblGrid>
        <w:gridCol w:w="2356"/>
        <w:gridCol w:w="4875"/>
        <w:gridCol w:w="991"/>
        <w:gridCol w:w="4536"/>
        <w:gridCol w:w="2487"/>
      </w:tblGrid>
      <w:tr w:rsidR="0080694F" w:rsidRPr="006D7D0E" w14:paraId="326607C1" w14:textId="77777777" w:rsidTr="005E5CEE">
        <w:trPr>
          <w:trHeight w:val="310"/>
        </w:trPr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1E5A7E0" w14:textId="604A0AFB" w:rsidR="0080694F" w:rsidRPr="00962CE4" w:rsidRDefault="008C0B5E" w:rsidP="005E5CE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Multi-Agency &amp; Case </w:t>
            </w:r>
            <w:r w:rsidR="007E2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Management</w:t>
            </w:r>
          </w:p>
        </w:tc>
      </w:tr>
      <w:tr w:rsidR="0080694F" w:rsidRPr="006D7D0E" w14:paraId="1DCBC58D" w14:textId="77777777" w:rsidTr="005E5CEE">
        <w:trPr>
          <w:trHeight w:val="31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469E" w14:textId="77777777" w:rsidR="0080694F" w:rsidRPr="006D7D0E" w:rsidRDefault="0080694F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C429" w14:textId="77777777" w:rsidR="0080694F" w:rsidRPr="006D7D0E" w:rsidRDefault="0080694F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2B8A" w14:textId="77777777" w:rsidR="0080694F" w:rsidRPr="006D7D0E" w:rsidRDefault="0080694F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3462" w14:textId="77777777" w:rsidR="0080694F" w:rsidRPr="006D7D0E" w:rsidRDefault="0080694F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Actions - lead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and </w:t>
            </w: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 to achieve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7920" w14:textId="77777777" w:rsidR="0080694F" w:rsidRPr="006D7D0E" w:rsidRDefault="0080694F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8C0B5E" w:rsidRPr="006D7D0E" w14:paraId="1A70EC92" w14:textId="77777777" w:rsidTr="0080694F">
        <w:trPr>
          <w:trHeight w:val="17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EB1" w14:textId="4969DE50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8C0B5E">
              <w:rPr>
                <w:rFonts w:ascii="Arial" w:hAnsi="Arial" w:cs="Arial"/>
                <w:color w:val="000000"/>
              </w:rPr>
              <w:t>Calls/emails/meetings with agencies (e.g., police, health, social care, early help) are recorded with clear action, owner, and timeframe.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462E" w14:textId="354E58CF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8C0B5E">
              <w:rPr>
                <w:rFonts w:ascii="Arial" w:hAnsi="Arial" w:cs="Arial"/>
                <w:color w:val="000000"/>
              </w:rPr>
              <w:t>Entries should summarise inter</w:t>
            </w:r>
            <w:r w:rsidR="007E2942">
              <w:rPr>
                <w:rFonts w:ascii="Arial" w:hAnsi="Arial" w:cs="Arial"/>
                <w:color w:val="000000"/>
              </w:rPr>
              <w:t>-</w:t>
            </w:r>
            <w:r w:rsidRPr="008C0B5E">
              <w:rPr>
                <w:rFonts w:ascii="Arial" w:hAnsi="Arial" w:cs="Arial"/>
                <w:color w:val="000000"/>
              </w:rPr>
              <w:t>agency communication, specify agreed actions (who/what/when), and demonstrate prompt information sharing in line with KCSIE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04C" w14:textId="77777777" w:rsidR="008C0B5E" w:rsidRPr="006D7D0E" w:rsidRDefault="008C0B5E" w:rsidP="008C0B5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A86D" w14:textId="7777777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F1D" w14:textId="7777777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8C0B5E" w:rsidRPr="006D7D0E" w14:paraId="512BCDBA" w14:textId="77777777" w:rsidTr="0080694F">
        <w:trPr>
          <w:trHeight w:val="17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5921" w14:textId="0FE4F3C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8C0B5E">
              <w:rPr>
                <w:rFonts w:ascii="Arial" w:hAnsi="Arial" w:cs="Arial"/>
                <w:color w:val="000000"/>
              </w:rPr>
              <w:t>Threshold decisions reference local guidance: rationale for referrals/non-referrals is captured.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3AC0" w14:textId="5D68CFC4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8C0B5E">
              <w:rPr>
                <w:rFonts w:ascii="Arial" w:hAnsi="Arial" w:cs="Arial"/>
                <w:color w:val="000000"/>
              </w:rPr>
              <w:t>Check that decisions cite the local threshold document/early help process and Working Together principles, with reasons documented when referring or not referring to social care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CA04" w14:textId="77777777" w:rsidR="008C0B5E" w:rsidRPr="006D7D0E" w:rsidRDefault="008C0B5E" w:rsidP="008C0B5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D55D" w14:textId="7777777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FCB" w14:textId="7777777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8C0B5E" w:rsidRPr="006D7D0E" w14:paraId="7EA8D68B" w14:textId="77777777" w:rsidTr="0080694F">
        <w:trPr>
          <w:trHeight w:val="177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E24" w14:textId="18F76E11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8C0B5E">
              <w:rPr>
                <w:rFonts w:ascii="Arial" w:hAnsi="Arial" w:cs="Arial"/>
                <w:color w:val="000000"/>
              </w:rPr>
              <w:t>Where there is professional disagreement, escalation is recorded (procedure used; outcome).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6DF31" w14:textId="6746502D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8C0B5E">
              <w:rPr>
                <w:rFonts w:ascii="Arial" w:hAnsi="Arial" w:cs="Arial"/>
                <w:color w:val="000000"/>
              </w:rPr>
              <w:t>Confirm use of the local Resolving Professional Disagreements/Escalation Procedure and capture the steps/outcomes. KCSIE expects escalation when concerns aren’t addressed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28C" w14:textId="77777777" w:rsidR="008C0B5E" w:rsidRPr="006D7D0E" w:rsidRDefault="008C0B5E" w:rsidP="008C0B5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6418" w14:textId="7777777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C164" w14:textId="77777777" w:rsidR="008C0B5E" w:rsidRPr="006D7D0E" w:rsidRDefault="008C0B5E" w:rsidP="008C0B5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2C533F32" w14:textId="4832C373" w:rsidR="00D06F52" w:rsidRDefault="00D06F52">
      <w:pPr>
        <w:rPr>
          <w:rFonts w:ascii="Arial" w:eastAsia="Times New Roman" w:hAnsi="Arial" w:cs="Arial"/>
          <w:lang w:val="en-GB" w:eastAsia="en-GB"/>
        </w:rPr>
      </w:pPr>
    </w:p>
    <w:p w14:paraId="7C7D675F" w14:textId="48DF9D40" w:rsidR="008C0B5E" w:rsidRDefault="008C0B5E">
      <w:pPr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br w:type="page"/>
      </w:r>
    </w:p>
    <w:tbl>
      <w:tblPr>
        <w:tblW w:w="15245" w:type="dxa"/>
        <w:tblInd w:w="-5" w:type="dxa"/>
        <w:tblLook w:val="04A0" w:firstRow="1" w:lastRow="0" w:firstColumn="1" w:lastColumn="0" w:noHBand="0" w:noVBand="1"/>
      </w:tblPr>
      <w:tblGrid>
        <w:gridCol w:w="2393"/>
        <w:gridCol w:w="4839"/>
        <w:gridCol w:w="990"/>
        <w:gridCol w:w="4536"/>
        <w:gridCol w:w="2487"/>
      </w:tblGrid>
      <w:tr w:rsidR="0078189A" w:rsidRPr="006D7D0E" w14:paraId="1BB950D2" w14:textId="77777777" w:rsidTr="005E5CEE">
        <w:trPr>
          <w:trHeight w:val="310"/>
        </w:trPr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40DAD2D" w14:textId="7D31FCAA" w:rsidR="0078189A" w:rsidRPr="00962CE4" w:rsidRDefault="0078189A" w:rsidP="005E5CE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Meetings &amp; Plans</w:t>
            </w:r>
          </w:p>
        </w:tc>
      </w:tr>
      <w:tr w:rsidR="007E0355" w:rsidRPr="006D7D0E" w14:paraId="67D1D35B" w14:textId="77777777" w:rsidTr="005E5CEE">
        <w:trPr>
          <w:trHeight w:val="31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7FB" w14:textId="77777777" w:rsidR="0078189A" w:rsidRPr="006D7D0E" w:rsidRDefault="0078189A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ACB" w14:textId="77777777" w:rsidR="0078189A" w:rsidRPr="006D7D0E" w:rsidRDefault="0078189A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99F1" w14:textId="77777777" w:rsidR="0078189A" w:rsidRPr="006D7D0E" w:rsidRDefault="0078189A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977A" w14:textId="77777777" w:rsidR="0078189A" w:rsidRPr="006D7D0E" w:rsidRDefault="0078189A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Actions - lead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and </w:t>
            </w: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 to achieve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16DD" w14:textId="77777777" w:rsidR="0078189A" w:rsidRPr="006D7D0E" w:rsidRDefault="0078189A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7E0355" w:rsidRPr="006D7D0E" w14:paraId="339E19E8" w14:textId="77777777" w:rsidTr="005E5CEE">
        <w:trPr>
          <w:trHeight w:val="17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374D" w14:textId="12AD5B5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E0355">
              <w:rPr>
                <w:rFonts w:ascii="Arial" w:hAnsi="Arial" w:cs="Arial"/>
                <w:color w:val="000000"/>
              </w:rPr>
              <w:t>For statutory/safeguarding meetings: report submitted; school represented; minutes received.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7EBB" w14:textId="1F95CEC8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E0355">
              <w:rPr>
                <w:rFonts w:ascii="Arial" w:hAnsi="Arial" w:cs="Arial"/>
                <w:color w:val="000000"/>
              </w:rPr>
              <w:t>Entries should summarise inter agency communication, specify agreed actions (who/what/when), and demonstrate prompt information sharing in line with KCSIE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C37" w14:textId="77777777" w:rsidR="007E0355" w:rsidRPr="006D7D0E" w:rsidRDefault="007E0355" w:rsidP="007E035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A37B" w14:textId="7777777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75EE" w14:textId="7777777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E0355" w:rsidRPr="006D7D0E" w14:paraId="5D21F148" w14:textId="77777777" w:rsidTr="005E5CEE">
        <w:trPr>
          <w:trHeight w:val="17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A914" w14:textId="512A8EA5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E0355">
              <w:rPr>
                <w:rFonts w:ascii="Arial" w:hAnsi="Arial" w:cs="Arial"/>
                <w:color w:val="000000"/>
              </w:rPr>
              <w:t>Actions assigned to school are recorded, tracked, and closed (with dates and evidence).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4F43" w14:textId="68AF2E6C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E0355">
              <w:rPr>
                <w:rFonts w:ascii="Arial" w:hAnsi="Arial" w:cs="Arial"/>
                <w:color w:val="000000"/>
              </w:rPr>
              <w:t>Check that decisions cite the local threshold document/early help process and Working Together principles, with reasons documented when referring or not referring to social care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5DD" w14:textId="77777777" w:rsidR="007E0355" w:rsidRPr="006D7D0E" w:rsidRDefault="007E0355" w:rsidP="007E035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F81B" w14:textId="7777777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286F" w14:textId="7777777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E0355" w:rsidRPr="006D7D0E" w14:paraId="527F2384" w14:textId="77777777" w:rsidTr="007E0355">
        <w:trPr>
          <w:trHeight w:val="208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3184" w14:textId="2394E750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E0355">
              <w:rPr>
                <w:rFonts w:ascii="Arial" w:hAnsi="Arial" w:cs="Arial"/>
                <w:color w:val="000000"/>
              </w:rPr>
              <w:t>Relevant plans are present/integrated (e.g., Early Help/CIN/CP/Core Group/PEP/Risk assessments) and are current.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9767" w14:textId="227AA821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E0355">
              <w:rPr>
                <w:rFonts w:ascii="Arial" w:hAnsi="Arial" w:cs="Arial"/>
                <w:color w:val="000000"/>
              </w:rPr>
              <w:t>Confirm use of the local Resolving Professional Disagreements/Escalation Procedure and capture the steps/outcomes. KCSIE expects escalation when concerns aren’t addressed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D65" w14:textId="77777777" w:rsidR="007E0355" w:rsidRPr="006D7D0E" w:rsidRDefault="007E0355" w:rsidP="007E035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79F2" w14:textId="7777777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153A" w14:textId="77777777" w:rsidR="007E0355" w:rsidRPr="006D7D0E" w:rsidRDefault="007E0355" w:rsidP="007E035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45A07BE3" w14:textId="5F180327" w:rsidR="007E0355" w:rsidRDefault="007E0355" w:rsidP="008A204D">
      <w:pPr>
        <w:tabs>
          <w:tab w:val="left" w:pos="4737"/>
        </w:tabs>
        <w:rPr>
          <w:rFonts w:ascii="Arial" w:eastAsia="Times New Roman" w:hAnsi="Arial" w:cs="Arial"/>
          <w:lang w:val="en-GB" w:eastAsia="en-GB"/>
        </w:rPr>
      </w:pPr>
    </w:p>
    <w:p w14:paraId="373DC7CF" w14:textId="77777777" w:rsidR="007E0355" w:rsidRDefault="007E0355">
      <w:pPr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br w:type="page"/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2393"/>
        <w:gridCol w:w="4839"/>
        <w:gridCol w:w="990"/>
        <w:gridCol w:w="4536"/>
        <w:gridCol w:w="2551"/>
      </w:tblGrid>
      <w:tr w:rsidR="00BE53B9" w:rsidRPr="006D7D0E" w14:paraId="2E3F1AE0" w14:textId="77777777" w:rsidTr="007B0B37">
        <w:trPr>
          <w:trHeight w:val="31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E0C700" w14:textId="43EE1EC8" w:rsidR="00BE53B9" w:rsidRPr="00962CE4" w:rsidRDefault="00A81901" w:rsidP="005E5CE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Injuries &amp; Immediate Safety</w:t>
            </w:r>
          </w:p>
        </w:tc>
      </w:tr>
      <w:tr w:rsidR="00BE53B9" w:rsidRPr="006D7D0E" w14:paraId="03D77CB4" w14:textId="77777777" w:rsidTr="007B0B37">
        <w:trPr>
          <w:trHeight w:val="31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CEFA" w14:textId="77777777" w:rsidR="00BE53B9" w:rsidRPr="006D7D0E" w:rsidRDefault="00BE53B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13A" w14:textId="77777777" w:rsidR="00BE53B9" w:rsidRPr="006D7D0E" w:rsidRDefault="00BE53B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40D5" w14:textId="77777777" w:rsidR="00BE53B9" w:rsidRPr="006D7D0E" w:rsidRDefault="00BE53B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FF27" w14:textId="77777777" w:rsidR="00BE53B9" w:rsidRPr="006D7D0E" w:rsidRDefault="00BE53B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Actions - lead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and </w:t>
            </w: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 to achieve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317F" w14:textId="77777777" w:rsidR="00BE53B9" w:rsidRPr="006D7D0E" w:rsidRDefault="00BE53B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A81901" w:rsidRPr="006D7D0E" w14:paraId="436BA177" w14:textId="77777777" w:rsidTr="007B0B37">
        <w:trPr>
          <w:trHeight w:val="174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544" w14:textId="6DAF1455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A81901">
              <w:rPr>
                <w:rFonts w:ascii="Arial" w:hAnsi="Arial" w:cs="Arial"/>
                <w:color w:val="000000"/>
              </w:rPr>
              <w:t>Body map and injury recording form used appropriately; entries are factual and avoid speculation.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F486" w14:textId="70ABE548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A81901">
              <w:rPr>
                <w:rFonts w:ascii="Arial" w:hAnsi="Arial" w:cs="Arial"/>
                <w:color w:val="000000"/>
              </w:rPr>
              <w:t>Confirm accurate location/description of injuries on body maps with objective wording; avoid attributing causation unless evidenced; follow local forms/guidance referenced in the audit.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E94" w14:textId="77777777" w:rsidR="00A81901" w:rsidRPr="006D7D0E" w:rsidRDefault="00A81901" w:rsidP="00A8190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E04" w14:textId="77777777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DFE1" w14:textId="77777777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81901" w:rsidRPr="006D7D0E" w14:paraId="7CE1E543" w14:textId="77777777" w:rsidTr="007B0B37">
        <w:trPr>
          <w:trHeight w:val="1740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D32" w14:textId="0D87E449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A81901">
              <w:rPr>
                <w:rFonts w:ascii="Arial" w:hAnsi="Arial" w:cs="Arial"/>
                <w:color w:val="000000"/>
              </w:rPr>
              <w:t>Immediate safety actions taken (first aid/medical advice/safety planning) are recorded.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9E46" w14:textId="314D7201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A81901">
              <w:rPr>
                <w:rFonts w:ascii="Arial" w:hAnsi="Arial" w:cs="Arial"/>
                <w:color w:val="000000"/>
              </w:rPr>
              <w:t>Verify prompt action entries (e.g., first aid, NHS advice, contacting police/MASH where required) and ensure decisions are recorded per KCSIE’s “act immediately/best interests” principle.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55E" w14:textId="77777777" w:rsidR="00A81901" w:rsidRPr="006D7D0E" w:rsidRDefault="00A81901" w:rsidP="00A8190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DAFF" w14:textId="77777777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25ED" w14:textId="77777777" w:rsidR="00A81901" w:rsidRPr="006D7D0E" w:rsidRDefault="00A81901" w:rsidP="00A8190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46E52061" w14:textId="575FFABD" w:rsidR="007B5F36" w:rsidRDefault="007B5F36" w:rsidP="008A204D">
      <w:pPr>
        <w:tabs>
          <w:tab w:val="left" w:pos="4737"/>
        </w:tabs>
        <w:rPr>
          <w:rFonts w:ascii="Arial" w:eastAsia="Times New Roman" w:hAnsi="Arial" w:cs="Arial"/>
          <w:lang w:val="en-GB" w:eastAsia="en-GB"/>
        </w:rPr>
      </w:pPr>
    </w:p>
    <w:p w14:paraId="18231162" w14:textId="77777777" w:rsidR="007B5F36" w:rsidRDefault="007B5F36">
      <w:pPr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br w:type="page"/>
      </w:r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2335"/>
        <w:gridCol w:w="4895"/>
        <w:gridCol w:w="992"/>
        <w:gridCol w:w="4536"/>
        <w:gridCol w:w="2693"/>
      </w:tblGrid>
      <w:tr w:rsidR="007B5F36" w:rsidRPr="006D7D0E" w14:paraId="450AF143" w14:textId="77777777" w:rsidTr="007B0B37">
        <w:trPr>
          <w:trHeight w:val="31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F86A18" w14:textId="4073D0D1" w:rsidR="007B5F36" w:rsidRPr="00962CE4" w:rsidRDefault="00784CF1" w:rsidP="005E5CE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Transition, Transfer &amp; Mobility</w:t>
            </w:r>
          </w:p>
        </w:tc>
      </w:tr>
      <w:tr w:rsidR="007B5F36" w:rsidRPr="006D7D0E" w14:paraId="2B55F349" w14:textId="77777777" w:rsidTr="007B0B37">
        <w:trPr>
          <w:trHeight w:val="31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6950" w14:textId="77777777" w:rsidR="007B5F36" w:rsidRPr="006D7D0E" w:rsidRDefault="007B5F36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F0F6" w14:textId="77777777" w:rsidR="007B5F36" w:rsidRPr="006D7D0E" w:rsidRDefault="007B5F36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F178" w14:textId="77777777" w:rsidR="007B5F36" w:rsidRPr="006D7D0E" w:rsidRDefault="007B5F36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C36" w14:textId="77777777" w:rsidR="007B5F36" w:rsidRPr="006D7D0E" w:rsidRDefault="007B5F36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Actions - lead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and </w:t>
            </w: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 to achieve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E195" w14:textId="77777777" w:rsidR="007B5F36" w:rsidRPr="006D7D0E" w:rsidRDefault="007B5F36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784CF1" w:rsidRPr="006D7D0E" w14:paraId="46F7CB9C" w14:textId="77777777" w:rsidTr="007B0B37">
        <w:trPr>
          <w:trHeight w:val="17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F6A" w14:textId="4968B2C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DSL-to-DSL contact is evidenced for pupils moving in/out (including AP/college).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30B75" w14:textId="509F498B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Check notes/emails of DSL to DSL discussions agreeing key information and support on arrival/exit; auditors should see proactive planning for seamless transition.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58F4" w14:textId="77777777" w:rsidR="00784CF1" w:rsidRPr="006D7D0E" w:rsidRDefault="00784CF1" w:rsidP="00784CF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4D21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9F37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84CF1" w:rsidRPr="006D7D0E" w14:paraId="57C0F13C" w14:textId="77777777" w:rsidTr="007B0B37">
        <w:trPr>
          <w:trHeight w:val="17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637" w14:textId="09D53DC1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Confidential/CP file transferred securely; receipt confirmed by destination.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6DF3" w14:textId="54AEC9F0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Verify transfer within 5 days (in year or first 5 days of term), separate from the main pupil file, with secure transit and confirmation of receipt per KCSIE Annex C/Part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F88A" w14:textId="77777777" w:rsidR="00784CF1" w:rsidRPr="006D7D0E" w:rsidRDefault="00784CF1" w:rsidP="00784CF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AA4F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935C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84CF1" w:rsidRPr="006D7D0E" w14:paraId="39BFC533" w14:textId="77777777" w:rsidTr="007B0B37">
        <w:trPr>
          <w:trHeight w:val="177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6935" w14:textId="5085D833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Additional information to support the child on arrival (needs, risks, support plan) was shared where appropriate.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EAFF" w14:textId="39C3F8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Consider whether sharing extra context (e.g., social worker contact, risk assessments) enabled immediate support; KCSIE encourages sharing to help children thrive.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2330" w14:textId="77777777" w:rsidR="00784CF1" w:rsidRPr="006D7D0E" w:rsidRDefault="00784CF1" w:rsidP="00784CF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A726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5E47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784CF1" w:rsidRPr="006D7D0E" w14:paraId="03FAC836" w14:textId="77777777" w:rsidTr="007B0B37">
        <w:trPr>
          <w:trHeight w:val="181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597" w14:textId="2E1FC233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Child and parents/carers engaged in transition planning; child’s voice captured.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1F016" w14:textId="1369F79F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784CF1">
              <w:rPr>
                <w:rFonts w:ascii="Arial" w:hAnsi="Arial" w:cs="Arial"/>
              </w:rPr>
              <w:t>Look for evidence of child centred planning, wishes/feelings considered, and parental involvement unless unsafe; align with KCSIE’s best interests/wishes and feelings duties.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89A" w14:textId="77777777" w:rsidR="00784CF1" w:rsidRPr="006D7D0E" w:rsidRDefault="00784CF1" w:rsidP="00784CF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F943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8025" w14:textId="77777777" w:rsidR="00784CF1" w:rsidRPr="006D7D0E" w:rsidRDefault="00784CF1" w:rsidP="00784CF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6E15DA2E" w14:textId="15D9096D" w:rsidR="00784CF1" w:rsidRDefault="00784CF1" w:rsidP="008A204D">
      <w:pPr>
        <w:tabs>
          <w:tab w:val="left" w:pos="4737"/>
        </w:tabs>
        <w:rPr>
          <w:rFonts w:ascii="Arial" w:eastAsia="Times New Roman" w:hAnsi="Arial" w:cs="Arial"/>
          <w:lang w:val="en-GB" w:eastAsia="en-GB"/>
        </w:rPr>
      </w:pPr>
    </w:p>
    <w:p w14:paraId="424B4648" w14:textId="77777777" w:rsidR="00784CF1" w:rsidRDefault="00784CF1">
      <w:pPr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br w:type="page"/>
      </w:r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2263"/>
        <w:gridCol w:w="6338"/>
        <w:gridCol w:w="897"/>
        <w:gridCol w:w="3543"/>
        <w:gridCol w:w="2410"/>
      </w:tblGrid>
      <w:tr w:rsidR="00D66C99" w:rsidRPr="006D7D0E" w14:paraId="418E837A" w14:textId="77777777" w:rsidTr="007B0B37">
        <w:trPr>
          <w:trHeight w:val="31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2A8D20A" w14:textId="71377102" w:rsidR="00D66C99" w:rsidRPr="00962CE4" w:rsidRDefault="00D66C99" w:rsidP="005E5CE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Vulnerable Cohorts</w:t>
            </w:r>
          </w:p>
        </w:tc>
      </w:tr>
      <w:tr w:rsidR="00D66C99" w:rsidRPr="006D7D0E" w14:paraId="0949255B" w14:textId="77777777" w:rsidTr="007B0B37">
        <w:trPr>
          <w:trHeight w:val="3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C1DB" w14:textId="77777777" w:rsidR="00D66C99" w:rsidRPr="006D7D0E" w:rsidRDefault="00D66C9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Statement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9C92" w14:textId="77777777" w:rsidR="00D66C99" w:rsidRPr="006D7D0E" w:rsidRDefault="00D66C9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Further Explanation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2E61" w14:textId="77777777" w:rsidR="00D66C99" w:rsidRPr="006D7D0E" w:rsidRDefault="00D66C9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Status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8EC" w14:textId="60568956" w:rsidR="00D66C99" w:rsidRPr="006D7D0E" w:rsidRDefault="00D66C9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Actions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(name &amp; deadline)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60D" w14:textId="77777777" w:rsidR="00D66C99" w:rsidRPr="006D7D0E" w:rsidRDefault="00D66C99" w:rsidP="005E5C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Notes</w:t>
            </w:r>
          </w:p>
        </w:tc>
      </w:tr>
      <w:tr w:rsidR="00D66C99" w:rsidRPr="006D7D0E" w14:paraId="4207B6B3" w14:textId="77777777" w:rsidTr="007B0B37">
        <w:trPr>
          <w:trHeight w:val="17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C55C" w14:textId="0CC8AD33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Looked-after/previously looked-after children:</w:t>
            </w:r>
            <w:r>
              <w:rPr>
                <w:rFonts w:ascii="Aptos" w:hAnsi="Aptos"/>
                <w:color w:val="000000"/>
              </w:rPr>
              <w:br/>
              <w:t>Designated Teacher involvement is clear with a current PEP. Social worker and Virtual School Head named on file. All meetings, actions and outcomes recorded.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4831" w14:textId="664C8101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ptos" w:hAnsi="Aptos"/>
                <w:color w:val="000000"/>
              </w:rPr>
              <w:t>• Legal status (looked after / previously looked after) and the Designated Teacher’s named oversight with dated entries.</w:t>
            </w:r>
            <w:r>
              <w:rPr>
                <w:rFonts w:ascii="Aptos" w:hAnsi="Aptos"/>
                <w:color w:val="000000"/>
              </w:rPr>
              <w:br/>
              <w:t>• A current PEP on file with the last review date, agreed actions, owner, deadline, and Virtual School engagement.</w:t>
            </w:r>
            <w:r>
              <w:rPr>
                <w:rFonts w:ascii="Aptos" w:hAnsi="Aptos"/>
                <w:color w:val="000000"/>
              </w:rPr>
              <w:br/>
              <w:t>• Social worker and Virtual School Head contact details; multi agency minutes (core group/review) filed, and school actions closed.</w:t>
            </w:r>
            <w:r>
              <w:rPr>
                <w:rFonts w:ascii="Aptos" w:hAnsi="Aptos"/>
                <w:color w:val="000000"/>
              </w:rPr>
              <w:br/>
              <w:t>• If there’s been a move, confirm secure CP file transfer within 5 days, separate from the main file, receipt confirmed, and any additional info shared to ensure support is in place on arrival.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D9D" w14:textId="77777777" w:rsidR="00D66C99" w:rsidRPr="006D7D0E" w:rsidRDefault="00D66C99" w:rsidP="00D66C9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365" w14:textId="77777777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ED7" w14:textId="77777777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D66C99" w:rsidRPr="006D7D0E" w14:paraId="00B8922C" w14:textId="77777777" w:rsidTr="007B0B37">
        <w:trPr>
          <w:cantSplit/>
          <w:trHeight w:val="17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CFF6" w14:textId="09A9405E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Children with SEND/Health needs:</w:t>
            </w:r>
            <w:r>
              <w:rPr>
                <w:rFonts w:ascii="Aptos" w:hAnsi="Aptos"/>
                <w:color w:val="000000"/>
              </w:rPr>
              <w:br/>
              <w:t>SENCO involvement is clear, relevant risk assessments/plans</w:t>
            </w:r>
            <w:r>
              <w:rPr>
                <w:rFonts w:ascii="Aptos" w:hAnsi="Aptos"/>
                <w:color w:val="000000"/>
              </w:rPr>
              <w:br/>
              <w:t xml:space="preserve"> included and adjustments recorded. DSL-SENCO liaison notes evident.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EF87" w14:textId="26A197A0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ptos" w:hAnsi="Aptos"/>
                <w:color w:val="000000"/>
              </w:rPr>
              <w:t>• Look for a current EHCP or SEN Support plan (review dates, outcomes), plus risk assessments (e.g., supervision/medical/online) where relevant.</w:t>
            </w:r>
            <w:r>
              <w:rPr>
                <w:rFonts w:ascii="Aptos" w:hAnsi="Aptos"/>
                <w:color w:val="000000"/>
              </w:rPr>
              <w:br/>
              <w:t>• Entries should show DSL–SENCO coordination (dated notes) tackling additional barriers to recognising/recording abuse (communication, isolation, misattribution of injuries/behaviour).</w:t>
            </w:r>
            <w:r>
              <w:rPr>
                <w:rFonts w:ascii="Aptos" w:hAnsi="Aptos"/>
                <w:color w:val="000000"/>
              </w:rPr>
              <w:br/>
              <w:t>• Confirm reasonable adjustments and communication supports are specified and implemented (e.g., trusted adult, adapted reporting routes).</w:t>
            </w:r>
            <w:r>
              <w:rPr>
                <w:rFonts w:ascii="Aptos" w:hAnsi="Aptos"/>
                <w:color w:val="000000"/>
              </w:rPr>
              <w:br/>
              <w:t>• Ensure multi</w:t>
            </w:r>
            <w:r>
              <w:rPr>
                <w:rFonts w:ascii="Aptos" w:hAnsi="Aptos"/>
                <w:color w:val="000000"/>
              </w:rPr>
              <w:noBreakHyphen/>
              <w:t>agency links (e.g., CYPMHS/health) are recorded with actions and outcomes.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BBE" w14:textId="77777777" w:rsidR="00D66C99" w:rsidRPr="006D7D0E" w:rsidRDefault="00D66C99" w:rsidP="00D66C9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EFB9" w14:textId="77777777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508" w14:textId="77777777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D66C99" w:rsidRPr="006D7D0E" w14:paraId="5FA34809" w14:textId="77777777" w:rsidTr="007B0B37">
        <w:trPr>
          <w:cantSplit/>
          <w:trHeight w:val="20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26E" w14:textId="3D170A86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ptos" w:hAnsi="Aptos"/>
                <w:b/>
                <w:bCs/>
                <w:color w:val="000000"/>
              </w:rPr>
              <w:t xml:space="preserve">Children with a social worker/victim of abuse: </w:t>
            </w:r>
            <w:r>
              <w:rPr>
                <w:rFonts w:ascii="Aptos" w:hAnsi="Aptos"/>
                <w:color w:val="000000"/>
              </w:rPr>
              <w:br/>
              <w:t xml:space="preserve">Social Worker details and involvement visible. Decision rationale, referrals, reports, actions and outcomes recorded clearly. Transition support is timely and information-sharing evident. 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4264" w14:textId="52D5512C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ptos" w:hAnsi="Aptos"/>
                <w:color w:val="000000"/>
              </w:rPr>
              <w:t>• A clear flag that the child has a social worker, with current contact details, used by the DSL to inform attendance/welfare/safeguarding decisions.</w:t>
            </w:r>
            <w:r>
              <w:rPr>
                <w:rFonts w:ascii="Aptos" w:hAnsi="Aptos"/>
                <w:color w:val="000000"/>
              </w:rPr>
              <w:br/>
              <w:t>• Record</w:t>
            </w:r>
            <w:r>
              <w:rPr>
                <w:rFonts w:ascii="Aptos" w:hAnsi="Aptos"/>
                <w:color w:val="000000"/>
              </w:rPr>
              <w:noBreakHyphen/>
              <w:t>keeping quality: concise concern summary; rationale for referral/non</w:t>
            </w:r>
            <w:r>
              <w:rPr>
                <w:rFonts w:ascii="Aptos" w:hAnsi="Aptos"/>
                <w:color w:val="000000"/>
              </w:rPr>
              <w:noBreakHyphen/>
              <w:t>referral; minutes from meetings; and an action tracker (owner, deadline, closure).</w:t>
            </w:r>
            <w:r>
              <w:rPr>
                <w:rFonts w:ascii="Aptos" w:hAnsi="Aptos"/>
                <w:color w:val="000000"/>
              </w:rPr>
              <w:br/>
              <w:t>• For moves (in</w:t>
            </w:r>
            <w:r>
              <w:rPr>
                <w:rFonts w:ascii="Aptos" w:hAnsi="Aptos"/>
                <w:color w:val="000000"/>
              </w:rPr>
              <w:noBreakHyphen/>
              <w:t>year/start of term), secure CP file transfer within 5 days, receipt confirmed, plus additional context shared to ensure support on arrival.</w:t>
            </w:r>
            <w:r>
              <w:rPr>
                <w:rFonts w:ascii="Aptos" w:hAnsi="Aptos"/>
                <w:color w:val="000000"/>
              </w:rPr>
              <w:br/>
              <w:t>• Where the child is a known victim of abuse, evidence risk planning, specialist referrals, and ongoing review of safety and well</w:t>
            </w:r>
            <w:r>
              <w:rPr>
                <w:rFonts w:ascii="Aptos" w:hAnsi="Aptos"/>
                <w:color w:val="000000"/>
              </w:rPr>
              <w:noBreakHyphen/>
              <w:t>being.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FC3" w14:textId="77777777" w:rsidR="00D66C99" w:rsidRPr="006D7D0E" w:rsidRDefault="00D66C99" w:rsidP="00D66C9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A20000"/>
                <w:sz w:val="24"/>
                <w:szCs w:val="24"/>
                <w:lang w:val="en-GB" w:eastAsia="en-GB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4F9F" w14:textId="77777777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2794" w14:textId="77777777" w:rsidR="00D66C99" w:rsidRPr="006D7D0E" w:rsidRDefault="00D66C99" w:rsidP="00D66C9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D7D0E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1B43DF45" w14:textId="7F62F38B" w:rsidR="00D66C99" w:rsidRDefault="00D66C99" w:rsidP="008A204D">
      <w:pPr>
        <w:tabs>
          <w:tab w:val="left" w:pos="4737"/>
        </w:tabs>
        <w:rPr>
          <w:rFonts w:ascii="Arial" w:eastAsia="Times New Roman" w:hAnsi="Arial" w:cs="Arial"/>
          <w:lang w:val="en-GB" w:eastAsia="en-GB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6232"/>
        <w:gridCol w:w="772"/>
        <w:gridCol w:w="8442"/>
      </w:tblGrid>
      <w:tr w:rsidR="00E3034A" w:rsidRPr="00E3034A" w14:paraId="7F870C04" w14:textId="77777777" w:rsidTr="007B0B37">
        <w:trPr>
          <w:trHeight w:val="290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567271DD" w14:textId="6909166D" w:rsidR="00E3034A" w:rsidRPr="009D4612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D4612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 xml:space="preserve">Action Plan – Please delete rows for statements that have been met </w:t>
            </w:r>
          </w:p>
        </w:tc>
      </w:tr>
      <w:tr w:rsidR="00E3034A" w:rsidRPr="00E3034A" w14:paraId="3E18410E" w14:textId="77777777" w:rsidTr="007B0B37">
        <w:trPr>
          <w:trHeight w:val="2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12C8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Statement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58C0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Status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8C47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Actions - Specify lead name and date to achieve</w:t>
            </w:r>
          </w:p>
        </w:tc>
      </w:tr>
      <w:tr w:rsidR="00E3034A" w:rsidRPr="00E3034A" w14:paraId="5571B8ED" w14:textId="77777777" w:rsidTr="007B0B37">
        <w:trPr>
          <w:trHeight w:val="9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97F1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Main pupil file clearly signposts that a confidential/child protection file exists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DAEE" w14:textId="114FAACD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C942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1747659F" w14:textId="77777777" w:rsidTr="007B0B37">
        <w:trPr>
          <w:trHeight w:val="8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2EAC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All confidential content removed from the main pupil file and held only in the confidential/CP file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3667" w14:textId="38583DAF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F6EC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20B9248E" w14:textId="77777777" w:rsidTr="007B0B37">
        <w:trPr>
          <w:trHeight w:val="5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4CD8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Current Front Sheet present and complete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CA45" w14:textId="2C4339CB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7DB4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5D233F22" w14:textId="77777777" w:rsidTr="007B0B37">
        <w:trPr>
          <w:trHeight w:val="8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1DF8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Running chronology exists and shows transfer from main file when threshold was reached/opened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B0C0" w14:textId="2A0CE4B5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80C2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18990853" w14:textId="77777777" w:rsidTr="007B0B37">
        <w:trPr>
          <w:trHeight w:val="5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DF15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Access controls and secure storage are evident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F967" w14:textId="4BAEC3ED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B6EB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790DF359" w14:textId="77777777" w:rsidTr="007B0B37">
        <w:trPr>
          <w:trHeight w:val="9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1F69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Every entry is dated, time-stamped, and attributable (name/role); entries are factual, concise, and legible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CF04" w14:textId="0A9F4294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BE6B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3C47FBD5" w14:textId="77777777" w:rsidTr="007B0B37">
        <w:trPr>
          <w:trHeight w:val="11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8D6D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DSL oversight and supervision are evidenced in the file, including routinely reviews and ownership of risk status and next steps.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75E3E" w14:textId="1AC9D553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3F3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4E32D4EA" w14:textId="77777777" w:rsidTr="007B0B37">
        <w:trPr>
          <w:trHeight w:val="8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E9F4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Incident/concern templates (or system equivalent) are used consistently.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00BBB" w14:textId="4C099569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F9D2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3621F389" w14:textId="77777777" w:rsidTr="007B0B37">
        <w:trPr>
          <w:trHeight w:val="8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6DE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Original contemporaneous notes (where made) are retained and cross-referenced to formal records.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5EAB" w14:textId="26B5C931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8C8F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303C02FB" w14:textId="77777777" w:rsidTr="007B0B37">
        <w:trPr>
          <w:trHeight w:val="8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A157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Child’s voice and parental contact (including decisions not to inform, with rationale) are recorded where relevant.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66E3" w14:textId="26F433CB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FBF7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653DA0A9" w14:textId="77777777" w:rsidTr="007B0B37">
        <w:trPr>
          <w:trHeight w:val="10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1F45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Calls/emails/meetings with agencies (e.g., police, health, social care, early help) are recorded with clear action, owner, and timeframe.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B4381" w14:textId="0173C82B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07F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4CB8F620" w14:textId="77777777" w:rsidTr="007B0B37">
        <w:trPr>
          <w:trHeight w:val="7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5C26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lastRenderedPageBreak/>
              <w:t>Threshold decisions reference local guidance: rationale for referrals/non-referrals is captured.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CEBD" w14:textId="51D2CFCB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CD39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392D0274" w14:textId="77777777" w:rsidTr="007B0B37">
        <w:trPr>
          <w:trHeight w:val="8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6B9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Where there is professional disagreement, escalation is recorded (procedure used; outcome).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13E3" w14:textId="1F7A851A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EE4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5304FAA5" w14:textId="77777777" w:rsidTr="007B0B37">
        <w:trPr>
          <w:trHeight w:val="8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F46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For statutory/safeguarding meetings: report submitted; school represented; minutes received.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4DFD3" w14:textId="3A50FA08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4863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15039E14" w14:textId="77777777" w:rsidTr="007B0B37">
        <w:trPr>
          <w:trHeight w:val="7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6F60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Actions assigned to school are recorded, tracked, and closed (with dates and evidence).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6AC6" w14:textId="4F94D89A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0E9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76EA1B29" w14:textId="77777777" w:rsidTr="007B0B37">
        <w:trPr>
          <w:trHeight w:val="11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1A2A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Relevant plans are present/integrated (e.g., Early Help/CIN/CP/Core Group/PEP/Risk assessments) and are current.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A03D" w14:textId="1C4661AA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1BF9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58AF8050" w14:textId="77777777" w:rsidTr="007B0B37">
        <w:trPr>
          <w:trHeight w:val="8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EFD4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Body map and injury recording form used appropriately; entries are factual and avoid speculation.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D5C47" w14:textId="531D88CE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57A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7B23EA25" w14:textId="77777777" w:rsidTr="007B0B37">
        <w:trPr>
          <w:trHeight w:val="8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27B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Immediate safety actions taken (first aid/medical advice/safety planning) are recorded.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1538" w14:textId="2F161CB5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EBB2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3D8DBD0B" w14:textId="77777777" w:rsidTr="007B0B37">
        <w:trPr>
          <w:trHeight w:val="10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8F85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DSL-to-DSL contact is evidenced for pupils moving in/out (including AP/college).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A160" w14:textId="7E58055F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BB1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05DD5443" w14:textId="77777777" w:rsidTr="007B0B37">
        <w:trPr>
          <w:trHeight w:val="8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D60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Confidential/CP file transferred securely; receipt confirmed by destination.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9F34" w14:textId="11D30181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1A1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5C425ADE" w14:textId="77777777" w:rsidTr="007B0B37">
        <w:trPr>
          <w:trHeight w:val="10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441B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Additional information to support the child on arrival (needs, risks, support plan) was shared where appropriate.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6CA8" w14:textId="66ED6C3B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24A2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07990393" w14:textId="77777777" w:rsidTr="007B0B37">
        <w:trPr>
          <w:trHeight w:val="9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D594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t>Child and parents/carers engaged in transition planning; child’s voice captured.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9449" w14:textId="3D5E0061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A8BD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60424F3E" w14:textId="77777777" w:rsidTr="007B0B37">
        <w:trPr>
          <w:trHeight w:val="15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D8A0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lastRenderedPageBreak/>
              <w:t>Looked-after/previously looked-after children:</w:t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  <w:t>Designated Teacher involvement is clear with a current PEP. Social worker and Virtual School Head named on file. All meetings, actions and outcomes recorded.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2AC5" w14:textId="5A41671F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ADB3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153A9EF2" w14:textId="77777777" w:rsidTr="007B0B37">
        <w:trPr>
          <w:trHeight w:val="16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599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Children with SEND/Health needs:</w:t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  <w:t>SENCO involvement is clear, relevant risk assessments/plans</w:t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  <w:t xml:space="preserve"> included and adjustments recorded. DSL-SENCO liaison notes evident.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03E3" w14:textId="1A1E00F5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E51F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E3034A" w:rsidRPr="00E3034A" w14:paraId="2477E26D" w14:textId="77777777" w:rsidTr="007B0B37">
        <w:trPr>
          <w:trHeight w:val="15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4BD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E3034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Children with a social worker/victim of abuse: </w:t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</w:r>
            <w:r w:rsidRPr="00E3034A">
              <w:rPr>
                <w:rFonts w:ascii="Arial" w:eastAsia="Times New Roman" w:hAnsi="Arial" w:cs="Arial"/>
                <w:color w:val="000000"/>
                <w:lang w:val="en-GB" w:eastAsia="en-GB"/>
              </w:rPr>
              <w:br/>
              <w:t xml:space="preserve">Social Worker details and involvement visible. Decision rationale, referrals, reports, actions and outcomes recorded clearly. Transition support is timely and information-sharing evident.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4A54" w14:textId="0C1771AD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A20000"/>
                <w:lang w:val="en-GB" w:eastAsia="en-GB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3DAE" w14:textId="77777777" w:rsidR="00E3034A" w:rsidRPr="00E3034A" w:rsidRDefault="00E3034A" w:rsidP="00E3034A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E3034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</w:tbl>
    <w:p w14:paraId="2B588E97" w14:textId="60794190" w:rsidR="008A204D" w:rsidRDefault="008A204D" w:rsidP="00D66C99">
      <w:pPr>
        <w:rPr>
          <w:rFonts w:ascii="Arial" w:eastAsia="Times New Roman" w:hAnsi="Arial" w:cs="Arial"/>
          <w:lang w:val="en-GB" w:eastAsia="en-GB"/>
        </w:rPr>
      </w:pPr>
    </w:p>
    <w:p w14:paraId="1C17376F" w14:textId="41B6524C" w:rsidR="007B0B37" w:rsidRDefault="007B0B37">
      <w:pPr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br w:type="page"/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3200"/>
        <w:gridCol w:w="12246"/>
      </w:tblGrid>
      <w:tr w:rsidR="007B0B37" w:rsidRPr="007B0B37" w14:paraId="179C7871" w14:textId="77777777" w:rsidTr="007B0B37">
        <w:trPr>
          <w:trHeight w:val="510"/>
        </w:trPr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1488ED6" w14:textId="628B5CAF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Sign-off Sheet</w:t>
            </w:r>
          </w:p>
        </w:tc>
      </w:tr>
      <w:tr w:rsidR="007B0B37" w:rsidRPr="007B0B37" w14:paraId="49DEEEB2" w14:textId="77777777" w:rsidTr="007B0B37">
        <w:trPr>
          <w:trHeight w:val="7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681C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Name of SLT completing Audit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5A7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225256D4" w14:textId="77777777" w:rsidTr="007B0B3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F324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Role of SLT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62B3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589EC920" w14:textId="77777777" w:rsidTr="007B0B37">
        <w:trPr>
          <w:trHeight w:val="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C8C6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31E3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6F509EB6" w14:textId="77777777" w:rsidTr="007B0B37">
        <w:trPr>
          <w:trHeight w:val="8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AD9C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Name of supporting Governor completing audit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2378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08B5E2FE" w14:textId="77777777" w:rsidTr="007B0B37">
        <w:trPr>
          <w:trHeight w:val="6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B072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Role of Governor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080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01EFBFF3" w14:textId="77777777" w:rsidTr="007B0B3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CF23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59A4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051A6001" w14:textId="77777777" w:rsidTr="007B0B37">
        <w:trPr>
          <w:trHeight w:val="6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78CF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Follow up actions logged?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8B7F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06A25DDA" w14:textId="77777777" w:rsidTr="007B0B37">
        <w:trPr>
          <w:trHeight w:val="8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CA2C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Due date of follow up actions logged?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E295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624C488A" w14:textId="77777777" w:rsidTr="007B0B37">
        <w:trPr>
          <w:trHeight w:val="5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2114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Re-audit required?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CE8A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5C0EFF79" w14:textId="77777777" w:rsidTr="007B0B37">
        <w:trPr>
          <w:trHeight w:val="6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D01E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Date of re-audit if required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DDA6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B0B37" w:rsidRPr="007B0B37" w14:paraId="0ED0D964" w14:textId="77777777" w:rsidTr="007B0B37">
        <w:trPr>
          <w:trHeight w:val="22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9A73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Additional Notes</w:t>
            </w:r>
          </w:p>
        </w:tc>
        <w:tc>
          <w:tcPr>
            <w:tcW w:w="1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1149" w14:textId="77777777" w:rsidR="007B0B37" w:rsidRPr="007B0B37" w:rsidRDefault="007B0B37" w:rsidP="007B0B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B0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0A801790" w14:textId="77777777" w:rsidR="007B0B37" w:rsidRPr="008A204D" w:rsidRDefault="007B0B37" w:rsidP="00D66C99">
      <w:pPr>
        <w:rPr>
          <w:rFonts w:ascii="Arial" w:eastAsia="Times New Roman" w:hAnsi="Arial" w:cs="Arial"/>
          <w:lang w:val="en-GB" w:eastAsia="en-GB"/>
        </w:rPr>
      </w:pPr>
    </w:p>
    <w:sectPr w:rsidR="007B0B37" w:rsidRPr="008A204D" w:rsidSect="00DA3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20" w:orient="landscape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1909" w14:textId="77777777" w:rsidR="003528CA" w:rsidRDefault="003528CA" w:rsidP="00FC50F7">
      <w:pPr>
        <w:spacing w:after="0" w:line="240" w:lineRule="auto"/>
      </w:pPr>
      <w:r>
        <w:separator/>
      </w:r>
    </w:p>
  </w:endnote>
  <w:endnote w:type="continuationSeparator" w:id="0">
    <w:p w14:paraId="70A89685" w14:textId="77777777" w:rsidR="003528CA" w:rsidRDefault="003528CA" w:rsidP="00FC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D86E" w14:textId="77777777" w:rsidR="00C21215" w:rsidRDefault="00C2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5E98" w14:textId="6A29E278" w:rsidR="00A83014" w:rsidRDefault="00A83014">
    <w:pPr>
      <w:pStyle w:val="Footer"/>
    </w:pPr>
  </w:p>
  <w:p w14:paraId="1319EDF1" w14:textId="066BC410" w:rsidR="00C33BA5" w:rsidRDefault="00C33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5F82" w14:textId="77777777" w:rsidR="00C21215" w:rsidRDefault="00C2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7FF8" w14:textId="77777777" w:rsidR="003528CA" w:rsidRDefault="003528CA" w:rsidP="00FC50F7">
      <w:pPr>
        <w:spacing w:after="0" w:line="240" w:lineRule="auto"/>
      </w:pPr>
      <w:r>
        <w:separator/>
      </w:r>
    </w:p>
  </w:footnote>
  <w:footnote w:type="continuationSeparator" w:id="0">
    <w:p w14:paraId="0DA0578E" w14:textId="77777777" w:rsidR="003528CA" w:rsidRDefault="003528CA" w:rsidP="00FC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1D60" w14:textId="77777777" w:rsidR="00C21215" w:rsidRDefault="00C2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F13E" w14:textId="77777777" w:rsidR="00C21215" w:rsidRDefault="00C2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2683" w14:textId="77777777" w:rsidR="00C21215" w:rsidRDefault="00C21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C21830"/>
    <w:multiLevelType w:val="hybridMultilevel"/>
    <w:tmpl w:val="77F7A5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E2F04"/>
    <w:multiLevelType w:val="hybridMultilevel"/>
    <w:tmpl w:val="EF54E9E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6B33D5C"/>
    <w:multiLevelType w:val="hybridMultilevel"/>
    <w:tmpl w:val="802CB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485D"/>
    <w:multiLevelType w:val="hybridMultilevel"/>
    <w:tmpl w:val="4D9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78AD"/>
    <w:multiLevelType w:val="hybridMultilevel"/>
    <w:tmpl w:val="CD4C7574"/>
    <w:lvl w:ilvl="0" w:tplc="CADA8E9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005"/>
    <w:multiLevelType w:val="hybridMultilevel"/>
    <w:tmpl w:val="C8B4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2E05"/>
    <w:multiLevelType w:val="hybridMultilevel"/>
    <w:tmpl w:val="3160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25C"/>
    <w:multiLevelType w:val="hybridMultilevel"/>
    <w:tmpl w:val="96CA4E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8B2685"/>
    <w:multiLevelType w:val="hybridMultilevel"/>
    <w:tmpl w:val="6716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13B01"/>
    <w:multiLevelType w:val="hybridMultilevel"/>
    <w:tmpl w:val="3CBE9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35C41"/>
    <w:multiLevelType w:val="hybridMultilevel"/>
    <w:tmpl w:val="46AE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5186"/>
    <w:multiLevelType w:val="hybridMultilevel"/>
    <w:tmpl w:val="4E00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14DF"/>
    <w:multiLevelType w:val="hybridMultilevel"/>
    <w:tmpl w:val="9822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67B58"/>
    <w:multiLevelType w:val="hybridMultilevel"/>
    <w:tmpl w:val="5FF2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A0AE3"/>
    <w:multiLevelType w:val="hybridMultilevel"/>
    <w:tmpl w:val="FE20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3303"/>
    <w:multiLevelType w:val="hybridMultilevel"/>
    <w:tmpl w:val="ED86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E7968"/>
    <w:multiLevelType w:val="hybridMultilevel"/>
    <w:tmpl w:val="D1F89F3C"/>
    <w:lvl w:ilvl="0" w:tplc="CADA8E9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8629F"/>
    <w:multiLevelType w:val="hybridMultilevel"/>
    <w:tmpl w:val="47168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45FCC"/>
    <w:multiLevelType w:val="hybridMultilevel"/>
    <w:tmpl w:val="F87E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14631"/>
    <w:multiLevelType w:val="hybridMultilevel"/>
    <w:tmpl w:val="29E0E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4642"/>
    <w:multiLevelType w:val="hybridMultilevel"/>
    <w:tmpl w:val="B8DC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F77CA"/>
    <w:multiLevelType w:val="hybridMultilevel"/>
    <w:tmpl w:val="8DB2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77808"/>
    <w:multiLevelType w:val="hybridMultilevel"/>
    <w:tmpl w:val="9D344B20"/>
    <w:lvl w:ilvl="0" w:tplc="7E2CF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01DA8"/>
    <w:multiLevelType w:val="hybridMultilevel"/>
    <w:tmpl w:val="C85CFFBC"/>
    <w:lvl w:ilvl="0" w:tplc="A07427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44A1"/>
    <w:multiLevelType w:val="hybridMultilevel"/>
    <w:tmpl w:val="1966A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54660"/>
    <w:multiLevelType w:val="hybridMultilevel"/>
    <w:tmpl w:val="0754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327C5"/>
    <w:multiLevelType w:val="multilevel"/>
    <w:tmpl w:val="DCCE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A1296"/>
    <w:multiLevelType w:val="hybridMultilevel"/>
    <w:tmpl w:val="7280300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5AD03517"/>
    <w:multiLevelType w:val="hybridMultilevel"/>
    <w:tmpl w:val="DF9E2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7008A"/>
    <w:multiLevelType w:val="hybridMultilevel"/>
    <w:tmpl w:val="B034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3EC7"/>
    <w:multiLevelType w:val="hybridMultilevel"/>
    <w:tmpl w:val="0DE8C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6ED3"/>
    <w:multiLevelType w:val="hybridMultilevel"/>
    <w:tmpl w:val="D42E7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0A58"/>
    <w:multiLevelType w:val="hybridMultilevel"/>
    <w:tmpl w:val="F450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B6852"/>
    <w:multiLevelType w:val="hybridMultilevel"/>
    <w:tmpl w:val="B320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40E9C"/>
    <w:multiLevelType w:val="hybridMultilevel"/>
    <w:tmpl w:val="D644AC4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70B35D2E"/>
    <w:multiLevelType w:val="hybridMultilevel"/>
    <w:tmpl w:val="24C8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E097E"/>
    <w:multiLevelType w:val="hybridMultilevel"/>
    <w:tmpl w:val="1A34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A318E"/>
    <w:multiLevelType w:val="hybridMultilevel"/>
    <w:tmpl w:val="A796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07995">
    <w:abstractNumId w:val="34"/>
  </w:num>
  <w:num w:numId="2" w16cid:durableId="1765029060">
    <w:abstractNumId w:val="37"/>
  </w:num>
  <w:num w:numId="3" w16cid:durableId="2114589982">
    <w:abstractNumId w:val="13"/>
  </w:num>
  <w:num w:numId="4" w16cid:durableId="942494489">
    <w:abstractNumId w:val="18"/>
  </w:num>
  <w:num w:numId="5" w16cid:durableId="1269391502">
    <w:abstractNumId w:val="14"/>
  </w:num>
  <w:num w:numId="6" w16cid:durableId="1693534848">
    <w:abstractNumId w:val="23"/>
  </w:num>
  <w:num w:numId="7" w16cid:durableId="1359043641">
    <w:abstractNumId w:val="1"/>
  </w:num>
  <w:num w:numId="8" w16cid:durableId="1073503503">
    <w:abstractNumId w:val="26"/>
  </w:num>
  <w:num w:numId="9" w16cid:durableId="1130243929">
    <w:abstractNumId w:val="3"/>
  </w:num>
  <w:num w:numId="10" w16cid:durableId="1055858445">
    <w:abstractNumId w:val="22"/>
  </w:num>
  <w:num w:numId="11" w16cid:durableId="1842036930">
    <w:abstractNumId w:val="0"/>
  </w:num>
  <w:num w:numId="12" w16cid:durableId="1512793448">
    <w:abstractNumId w:val="10"/>
  </w:num>
  <w:num w:numId="13" w16cid:durableId="112097210">
    <w:abstractNumId w:val="8"/>
  </w:num>
  <w:num w:numId="14" w16cid:durableId="129370865">
    <w:abstractNumId w:val="33"/>
  </w:num>
  <w:num w:numId="15" w16cid:durableId="370422102">
    <w:abstractNumId w:val="6"/>
  </w:num>
  <w:num w:numId="16" w16cid:durableId="675036158">
    <w:abstractNumId w:val="35"/>
  </w:num>
  <w:num w:numId="17" w16cid:durableId="945162415">
    <w:abstractNumId w:val="5"/>
  </w:num>
  <w:num w:numId="18" w16cid:durableId="1528372193">
    <w:abstractNumId w:val="19"/>
  </w:num>
  <w:num w:numId="19" w16cid:durableId="371002468">
    <w:abstractNumId w:val="2"/>
  </w:num>
  <w:num w:numId="20" w16cid:durableId="618806463">
    <w:abstractNumId w:val="36"/>
  </w:num>
  <w:num w:numId="21" w16cid:durableId="805002230">
    <w:abstractNumId w:val="30"/>
  </w:num>
  <w:num w:numId="22" w16cid:durableId="1708142269">
    <w:abstractNumId w:val="31"/>
  </w:num>
  <w:num w:numId="23" w16cid:durableId="180894695">
    <w:abstractNumId w:val="11"/>
  </w:num>
  <w:num w:numId="24" w16cid:durableId="376586862">
    <w:abstractNumId w:val="12"/>
  </w:num>
  <w:num w:numId="25" w16cid:durableId="1842314523">
    <w:abstractNumId w:val="29"/>
  </w:num>
  <w:num w:numId="26" w16cid:durableId="992754762">
    <w:abstractNumId w:val="17"/>
  </w:num>
  <w:num w:numId="27" w16cid:durableId="207645216">
    <w:abstractNumId w:val="7"/>
  </w:num>
  <w:num w:numId="28" w16cid:durableId="636420352">
    <w:abstractNumId w:val="9"/>
  </w:num>
  <w:num w:numId="29" w16cid:durableId="23754458">
    <w:abstractNumId w:val="32"/>
  </w:num>
  <w:num w:numId="30" w16cid:durableId="1262567723">
    <w:abstractNumId w:val="28"/>
  </w:num>
  <w:num w:numId="31" w16cid:durableId="1311784462">
    <w:abstractNumId w:val="25"/>
  </w:num>
  <w:num w:numId="32" w16cid:durableId="1823158426">
    <w:abstractNumId w:val="21"/>
  </w:num>
  <w:num w:numId="33" w16cid:durableId="15735832">
    <w:abstractNumId w:val="15"/>
  </w:num>
  <w:num w:numId="34" w16cid:durableId="611278695">
    <w:abstractNumId w:val="20"/>
  </w:num>
  <w:num w:numId="35" w16cid:durableId="428280477">
    <w:abstractNumId w:val="27"/>
  </w:num>
  <w:num w:numId="36" w16cid:durableId="1629584817">
    <w:abstractNumId w:val="24"/>
  </w:num>
  <w:num w:numId="37" w16cid:durableId="678124388">
    <w:abstractNumId w:val="16"/>
  </w:num>
  <w:num w:numId="38" w16cid:durableId="159385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3D"/>
    <w:rsid w:val="00001A03"/>
    <w:rsid w:val="0000319A"/>
    <w:rsid w:val="00006DBF"/>
    <w:rsid w:val="00010A11"/>
    <w:rsid w:val="00014FD9"/>
    <w:rsid w:val="00023B0A"/>
    <w:rsid w:val="000325D5"/>
    <w:rsid w:val="00032EB9"/>
    <w:rsid w:val="00035BAF"/>
    <w:rsid w:val="00035C03"/>
    <w:rsid w:val="00037297"/>
    <w:rsid w:val="000403AA"/>
    <w:rsid w:val="00042EB6"/>
    <w:rsid w:val="00044DA6"/>
    <w:rsid w:val="000468FD"/>
    <w:rsid w:val="0005175F"/>
    <w:rsid w:val="000519D3"/>
    <w:rsid w:val="00054435"/>
    <w:rsid w:val="00054F38"/>
    <w:rsid w:val="00064978"/>
    <w:rsid w:val="00065A38"/>
    <w:rsid w:val="000662A6"/>
    <w:rsid w:val="000776F2"/>
    <w:rsid w:val="00080223"/>
    <w:rsid w:val="0008694C"/>
    <w:rsid w:val="00090E53"/>
    <w:rsid w:val="00093E6A"/>
    <w:rsid w:val="000A5189"/>
    <w:rsid w:val="000A6C51"/>
    <w:rsid w:val="000B1055"/>
    <w:rsid w:val="000B7372"/>
    <w:rsid w:val="000D398C"/>
    <w:rsid w:val="000D401B"/>
    <w:rsid w:val="000D6BD0"/>
    <w:rsid w:val="000E1939"/>
    <w:rsid w:val="000E258E"/>
    <w:rsid w:val="000F2A50"/>
    <w:rsid w:val="000F5694"/>
    <w:rsid w:val="000F604F"/>
    <w:rsid w:val="000F7BCB"/>
    <w:rsid w:val="00103E5A"/>
    <w:rsid w:val="001044B8"/>
    <w:rsid w:val="001077A3"/>
    <w:rsid w:val="001117D5"/>
    <w:rsid w:val="00111828"/>
    <w:rsid w:val="00112A71"/>
    <w:rsid w:val="00116508"/>
    <w:rsid w:val="0012523D"/>
    <w:rsid w:val="0013218F"/>
    <w:rsid w:val="001323C0"/>
    <w:rsid w:val="0014318D"/>
    <w:rsid w:val="00146B6C"/>
    <w:rsid w:val="001544B5"/>
    <w:rsid w:val="00160EBB"/>
    <w:rsid w:val="001632E7"/>
    <w:rsid w:val="00165D87"/>
    <w:rsid w:val="00166D81"/>
    <w:rsid w:val="0016792C"/>
    <w:rsid w:val="001732A0"/>
    <w:rsid w:val="0017377E"/>
    <w:rsid w:val="00174D5E"/>
    <w:rsid w:val="00175FC2"/>
    <w:rsid w:val="00177847"/>
    <w:rsid w:val="00185217"/>
    <w:rsid w:val="001902B7"/>
    <w:rsid w:val="0019371A"/>
    <w:rsid w:val="00197EC7"/>
    <w:rsid w:val="001A15DE"/>
    <w:rsid w:val="001A1AD9"/>
    <w:rsid w:val="001A58D4"/>
    <w:rsid w:val="001A6DFC"/>
    <w:rsid w:val="001A75CD"/>
    <w:rsid w:val="001B0AB1"/>
    <w:rsid w:val="001B1C9A"/>
    <w:rsid w:val="001B3990"/>
    <w:rsid w:val="001B510A"/>
    <w:rsid w:val="001B522F"/>
    <w:rsid w:val="001C34BD"/>
    <w:rsid w:val="001C4FB3"/>
    <w:rsid w:val="001D1F59"/>
    <w:rsid w:val="001D2200"/>
    <w:rsid w:val="001D4377"/>
    <w:rsid w:val="001D7044"/>
    <w:rsid w:val="001D7EB5"/>
    <w:rsid w:val="001E0A67"/>
    <w:rsid w:val="001F121B"/>
    <w:rsid w:val="00201BC3"/>
    <w:rsid w:val="0021614C"/>
    <w:rsid w:val="0022085A"/>
    <w:rsid w:val="00222AB3"/>
    <w:rsid w:val="00227E67"/>
    <w:rsid w:val="00231D74"/>
    <w:rsid w:val="00232850"/>
    <w:rsid w:val="00235229"/>
    <w:rsid w:val="002379A0"/>
    <w:rsid w:val="00237B74"/>
    <w:rsid w:val="00250C71"/>
    <w:rsid w:val="00251262"/>
    <w:rsid w:val="00255B61"/>
    <w:rsid w:val="002710C6"/>
    <w:rsid w:val="0027168E"/>
    <w:rsid w:val="00271BC9"/>
    <w:rsid w:val="00272DE6"/>
    <w:rsid w:val="00286D22"/>
    <w:rsid w:val="00293F98"/>
    <w:rsid w:val="002A2F96"/>
    <w:rsid w:val="002A70C2"/>
    <w:rsid w:val="002B5F83"/>
    <w:rsid w:val="002B6FD8"/>
    <w:rsid w:val="002C09E3"/>
    <w:rsid w:val="002C58E5"/>
    <w:rsid w:val="002D14C8"/>
    <w:rsid w:val="002E1A55"/>
    <w:rsid w:val="002E1C97"/>
    <w:rsid w:val="002E7C9A"/>
    <w:rsid w:val="002E7E61"/>
    <w:rsid w:val="002F2B33"/>
    <w:rsid w:val="002F44A2"/>
    <w:rsid w:val="002F5519"/>
    <w:rsid w:val="002F64C7"/>
    <w:rsid w:val="002F7EE2"/>
    <w:rsid w:val="00301351"/>
    <w:rsid w:val="00302D40"/>
    <w:rsid w:val="003050DC"/>
    <w:rsid w:val="00306FED"/>
    <w:rsid w:val="00307D32"/>
    <w:rsid w:val="00311A29"/>
    <w:rsid w:val="00314034"/>
    <w:rsid w:val="00315841"/>
    <w:rsid w:val="00316AC7"/>
    <w:rsid w:val="003233B3"/>
    <w:rsid w:val="00326EE7"/>
    <w:rsid w:val="00336CC8"/>
    <w:rsid w:val="00346B55"/>
    <w:rsid w:val="003528CA"/>
    <w:rsid w:val="0035714B"/>
    <w:rsid w:val="003615D2"/>
    <w:rsid w:val="003639E4"/>
    <w:rsid w:val="00367ED1"/>
    <w:rsid w:val="00372E04"/>
    <w:rsid w:val="0037529E"/>
    <w:rsid w:val="00377B20"/>
    <w:rsid w:val="00385F80"/>
    <w:rsid w:val="00387E14"/>
    <w:rsid w:val="00394F58"/>
    <w:rsid w:val="00395D0F"/>
    <w:rsid w:val="00396C6F"/>
    <w:rsid w:val="00397FF9"/>
    <w:rsid w:val="003B1A0C"/>
    <w:rsid w:val="003B5CB1"/>
    <w:rsid w:val="003B5EF6"/>
    <w:rsid w:val="003B770A"/>
    <w:rsid w:val="003C509F"/>
    <w:rsid w:val="003C50A8"/>
    <w:rsid w:val="003D3D1F"/>
    <w:rsid w:val="003D5C86"/>
    <w:rsid w:val="003D7438"/>
    <w:rsid w:val="003E3D12"/>
    <w:rsid w:val="003F007B"/>
    <w:rsid w:val="00404301"/>
    <w:rsid w:val="00407C0C"/>
    <w:rsid w:val="00411736"/>
    <w:rsid w:val="00425D79"/>
    <w:rsid w:val="00431EF6"/>
    <w:rsid w:val="00434716"/>
    <w:rsid w:val="00437303"/>
    <w:rsid w:val="0044084F"/>
    <w:rsid w:val="00442F4E"/>
    <w:rsid w:val="0044467D"/>
    <w:rsid w:val="00450861"/>
    <w:rsid w:val="00453315"/>
    <w:rsid w:val="00456B69"/>
    <w:rsid w:val="00457D76"/>
    <w:rsid w:val="00462704"/>
    <w:rsid w:val="00466E2A"/>
    <w:rsid w:val="00467858"/>
    <w:rsid w:val="00467B5E"/>
    <w:rsid w:val="00470720"/>
    <w:rsid w:val="004734E1"/>
    <w:rsid w:val="0048155C"/>
    <w:rsid w:val="00486344"/>
    <w:rsid w:val="0049069C"/>
    <w:rsid w:val="00490891"/>
    <w:rsid w:val="00492888"/>
    <w:rsid w:val="00492B8F"/>
    <w:rsid w:val="00497302"/>
    <w:rsid w:val="004A15E0"/>
    <w:rsid w:val="004A64F6"/>
    <w:rsid w:val="004B0DF5"/>
    <w:rsid w:val="004B5A84"/>
    <w:rsid w:val="004C13D6"/>
    <w:rsid w:val="004C3FCC"/>
    <w:rsid w:val="004D07D9"/>
    <w:rsid w:val="004D191A"/>
    <w:rsid w:val="004E08C7"/>
    <w:rsid w:val="004E3C2E"/>
    <w:rsid w:val="004E7201"/>
    <w:rsid w:val="004F3F8B"/>
    <w:rsid w:val="004F49E4"/>
    <w:rsid w:val="004F52B4"/>
    <w:rsid w:val="004F65E4"/>
    <w:rsid w:val="00500C76"/>
    <w:rsid w:val="005014E8"/>
    <w:rsid w:val="00502661"/>
    <w:rsid w:val="00503217"/>
    <w:rsid w:val="00513569"/>
    <w:rsid w:val="005143BC"/>
    <w:rsid w:val="00525E3B"/>
    <w:rsid w:val="00531A18"/>
    <w:rsid w:val="00541795"/>
    <w:rsid w:val="00542055"/>
    <w:rsid w:val="00543B7C"/>
    <w:rsid w:val="00547A64"/>
    <w:rsid w:val="005626C2"/>
    <w:rsid w:val="00563DB1"/>
    <w:rsid w:val="0056496F"/>
    <w:rsid w:val="0056678E"/>
    <w:rsid w:val="0057154C"/>
    <w:rsid w:val="005A1B32"/>
    <w:rsid w:val="005A5A04"/>
    <w:rsid w:val="005B151E"/>
    <w:rsid w:val="005B5158"/>
    <w:rsid w:val="005B7808"/>
    <w:rsid w:val="005C4030"/>
    <w:rsid w:val="005C7E65"/>
    <w:rsid w:val="005D389E"/>
    <w:rsid w:val="005D7A09"/>
    <w:rsid w:val="005E48CF"/>
    <w:rsid w:val="005E4EFE"/>
    <w:rsid w:val="005E72DB"/>
    <w:rsid w:val="005E73BF"/>
    <w:rsid w:val="005F4E76"/>
    <w:rsid w:val="00602074"/>
    <w:rsid w:val="006069FF"/>
    <w:rsid w:val="00606E0B"/>
    <w:rsid w:val="00611F91"/>
    <w:rsid w:val="00615709"/>
    <w:rsid w:val="00616A6A"/>
    <w:rsid w:val="0062017E"/>
    <w:rsid w:val="00625E62"/>
    <w:rsid w:val="00626A36"/>
    <w:rsid w:val="0063252C"/>
    <w:rsid w:val="00632AEE"/>
    <w:rsid w:val="006404C9"/>
    <w:rsid w:val="00643E33"/>
    <w:rsid w:val="00652D53"/>
    <w:rsid w:val="00652DF0"/>
    <w:rsid w:val="006565B4"/>
    <w:rsid w:val="00657D56"/>
    <w:rsid w:val="006618AB"/>
    <w:rsid w:val="00663CE0"/>
    <w:rsid w:val="00666234"/>
    <w:rsid w:val="006676B0"/>
    <w:rsid w:val="00670A1C"/>
    <w:rsid w:val="006738F0"/>
    <w:rsid w:val="00677043"/>
    <w:rsid w:val="00681137"/>
    <w:rsid w:val="00681556"/>
    <w:rsid w:val="00681AC3"/>
    <w:rsid w:val="0068412F"/>
    <w:rsid w:val="006844C7"/>
    <w:rsid w:val="006941EA"/>
    <w:rsid w:val="006958DD"/>
    <w:rsid w:val="00696F8D"/>
    <w:rsid w:val="006A4997"/>
    <w:rsid w:val="006A65FC"/>
    <w:rsid w:val="006A6717"/>
    <w:rsid w:val="006B31D9"/>
    <w:rsid w:val="006B3D98"/>
    <w:rsid w:val="006B46A0"/>
    <w:rsid w:val="006C1215"/>
    <w:rsid w:val="006C12A2"/>
    <w:rsid w:val="006C36DC"/>
    <w:rsid w:val="006C4663"/>
    <w:rsid w:val="006C72BA"/>
    <w:rsid w:val="006C7AB5"/>
    <w:rsid w:val="006D0649"/>
    <w:rsid w:val="006D7D0E"/>
    <w:rsid w:val="006E2638"/>
    <w:rsid w:val="006E2BB1"/>
    <w:rsid w:val="006E2BE3"/>
    <w:rsid w:val="006F1CC9"/>
    <w:rsid w:val="006F28EA"/>
    <w:rsid w:val="006F6099"/>
    <w:rsid w:val="006F6840"/>
    <w:rsid w:val="006F7EE8"/>
    <w:rsid w:val="007219A6"/>
    <w:rsid w:val="00722F3D"/>
    <w:rsid w:val="0072680F"/>
    <w:rsid w:val="00726A83"/>
    <w:rsid w:val="00730360"/>
    <w:rsid w:val="0073377D"/>
    <w:rsid w:val="0074297C"/>
    <w:rsid w:val="0075358A"/>
    <w:rsid w:val="00760424"/>
    <w:rsid w:val="007607F5"/>
    <w:rsid w:val="00765F55"/>
    <w:rsid w:val="00774641"/>
    <w:rsid w:val="00776AC2"/>
    <w:rsid w:val="00780C68"/>
    <w:rsid w:val="0078189A"/>
    <w:rsid w:val="00781BB1"/>
    <w:rsid w:val="00784CF1"/>
    <w:rsid w:val="00790EFF"/>
    <w:rsid w:val="00794512"/>
    <w:rsid w:val="00794935"/>
    <w:rsid w:val="00796CF9"/>
    <w:rsid w:val="007A4616"/>
    <w:rsid w:val="007A790B"/>
    <w:rsid w:val="007B0B37"/>
    <w:rsid w:val="007B4A62"/>
    <w:rsid w:val="007B5D41"/>
    <w:rsid w:val="007B5F36"/>
    <w:rsid w:val="007C2B86"/>
    <w:rsid w:val="007D2E0C"/>
    <w:rsid w:val="007D6115"/>
    <w:rsid w:val="007E0355"/>
    <w:rsid w:val="007E0D80"/>
    <w:rsid w:val="007E2942"/>
    <w:rsid w:val="007F0FA9"/>
    <w:rsid w:val="007F74E4"/>
    <w:rsid w:val="00801D72"/>
    <w:rsid w:val="00805D2E"/>
    <w:rsid w:val="00805DF1"/>
    <w:rsid w:val="0080694F"/>
    <w:rsid w:val="00806C1F"/>
    <w:rsid w:val="008136D7"/>
    <w:rsid w:val="00824B0E"/>
    <w:rsid w:val="0083027B"/>
    <w:rsid w:val="008400F0"/>
    <w:rsid w:val="008450B0"/>
    <w:rsid w:val="0084623E"/>
    <w:rsid w:val="0085378C"/>
    <w:rsid w:val="0086357E"/>
    <w:rsid w:val="0086488A"/>
    <w:rsid w:val="00866B20"/>
    <w:rsid w:val="00870896"/>
    <w:rsid w:val="0089162B"/>
    <w:rsid w:val="0089625F"/>
    <w:rsid w:val="008A0EF8"/>
    <w:rsid w:val="008A204D"/>
    <w:rsid w:val="008A3968"/>
    <w:rsid w:val="008A4137"/>
    <w:rsid w:val="008B026B"/>
    <w:rsid w:val="008B6A2C"/>
    <w:rsid w:val="008C0B5E"/>
    <w:rsid w:val="008C1AE3"/>
    <w:rsid w:val="008C5446"/>
    <w:rsid w:val="008C651D"/>
    <w:rsid w:val="008D1E85"/>
    <w:rsid w:val="008D404E"/>
    <w:rsid w:val="008D4B41"/>
    <w:rsid w:val="008D6BC5"/>
    <w:rsid w:val="008D6FDA"/>
    <w:rsid w:val="008E0100"/>
    <w:rsid w:val="008E1093"/>
    <w:rsid w:val="008E2E69"/>
    <w:rsid w:val="008E5086"/>
    <w:rsid w:val="008E6DD9"/>
    <w:rsid w:val="008E6F83"/>
    <w:rsid w:val="008F1B0D"/>
    <w:rsid w:val="008F1BD1"/>
    <w:rsid w:val="0090132A"/>
    <w:rsid w:val="00902C7A"/>
    <w:rsid w:val="00922265"/>
    <w:rsid w:val="00922E2A"/>
    <w:rsid w:val="0092618B"/>
    <w:rsid w:val="00927F44"/>
    <w:rsid w:val="009327D6"/>
    <w:rsid w:val="0093392C"/>
    <w:rsid w:val="00934C33"/>
    <w:rsid w:val="009377C1"/>
    <w:rsid w:val="00942365"/>
    <w:rsid w:val="009433EA"/>
    <w:rsid w:val="00954EC7"/>
    <w:rsid w:val="00960CB1"/>
    <w:rsid w:val="00962CE2"/>
    <w:rsid w:val="00962CE4"/>
    <w:rsid w:val="00970B2C"/>
    <w:rsid w:val="009853FA"/>
    <w:rsid w:val="00993810"/>
    <w:rsid w:val="0099543B"/>
    <w:rsid w:val="009A1556"/>
    <w:rsid w:val="009A2A52"/>
    <w:rsid w:val="009A2ED4"/>
    <w:rsid w:val="009B0DCC"/>
    <w:rsid w:val="009B1AC7"/>
    <w:rsid w:val="009B520E"/>
    <w:rsid w:val="009B6708"/>
    <w:rsid w:val="009B6B03"/>
    <w:rsid w:val="009C0C38"/>
    <w:rsid w:val="009C331B"/>
    <w:rsid w:val="009C37E6"/>
    <w:rsid w:val="009C444B"/>
    <w:rsid w:val="009D08F7"/>
    <w:rsid w:val="009D4612"/>
    <w:rsid w:val="009E1193"/>
    <w:rsid w:val="009F2974"/>
    <w:rsid w:val="009F3457"/>
    <w:rsid w:val="009F6578"/>
    <w:rsid w:val="009F7E4B"/>
    <w:rsid w:val="00A03FCE"/>
    <w:rsid w:val="00A16378"/>
    <w:rsid w:val="00A16A56"/>
    <w:rsid w:val="00A20A1C"/>
    <w:rsid w:val="00A22B78"/>
    <w:rsid w:val="00A438B2"/>
    <w:rsid w:val="00A50472"/>
    <w:rsid w:val="00A527CE"/>
    <w:rsid w:val="00A53762"/>
    <w:rsid w:val="00A56269"/>
    <w:rsid w:val="00A627A3"/>
    <w:rsid w:val="00A671A0"/>
    <w:rsid w:val="00A71F08"/>
    <w:rsid w:val="00A72108"/>
    <w:rsid w:val="00A73E43"/>
    <w:rsid w:val="00A74847"/>
    <w:rsid w:val="00A80380"/>
    <w:rsid w:val="00A81901"/>
    <w:rsid w:val="00A81AA7"/>
    <w:rsid w:val="00A83014"/>
    <w:rsid w:val="00A8477B"/>
    <w:rsid w:val="00A847A8"/>
    <w:rsid w:val="00A85457"/>
    <w:rsid w:val="00A972AB"/>
    <w:rsid w:val="00AA13AA"/>
    <w:rsid w:val="00AA2917"/>
    <w:rsid w:val="00AA2DA6"/>
    <w:rsid w:val="00AA374F"/>
    <w:rsid w:val="00AA4BE4"/>
    <w:rsid w:val="00AA6E14"/>
    <w:rsid w:val="00AA778A"/>
    <w:rsid w:val="00AB3C30"/>
    <w:rsid w:val="00AC157C"/>
    <w:rsid w:val="00AC249D"/>
    <w:rsid w:val="00AC3AF7"/>
    <w:rsid w:val="00AC49F5"/>
    <w:rsid w:val="00AD217F"/>
    <w:rsid w:val="00AD40B3"/>
    <w:rsid w:val="00AD5C9F"/>
    <w:rsid w:val="00AE21A6"/>
    <w:rsid w:val="00AF3F9C"/>
    <w:rsid w:val="00AF421B"/>
    <w:rsid w:val="00B01F14"/>
    <w:rsid w:val="00B10A75"/>
    <w:rsid w:val="00B11966"/>
    <w:rsid w:val="00B174CC"/>
    <w:rsid w:val="00B30C4A"/>
    <w:rsid w:val="00B31E15"/>
    <w:rsid w:val="00B34279"/>
    <w:rsid w:val="00B51DF7"/>
    <w:rsid w:val="00B54237"/>
    <w:rsid w:val="00B57316"/>
    <w:rsid w:val="00B60AF2"/>
    <w:rsid w:val="00B612A4"/>
    <w:rsid w:val="00B64A7C"/>
    <w:rsid w:val="00B67CF5"/>
    <w:rsid w:val="00B77FD2"/>
    <w:rsid w:val="00B824D0"/>
    <w:rsid w:val="00B91E7B"/>
    <w:rsid w:val="00B92CA4"/>
    <w:rsid w:val="00B92FCE"/>
    <w:rsid w:val="00B96E26"/>
    <w:rsid w:val="00BA3E3E"/>
    <w:rsid w:val="00BB2B16"/>
    <w:rsid w:val="00BB3F7A"/>
    <w:rsid w:val="00BC4E10"/>
    <w:rsid w:val="00BC5E79"/>
    <w:rsid w:val="00BC66D2"/>
    <w:rsid w:val="00BC6BD8"/>
    <w:rsid w:val="00BD68FD"/>
    <w:rsid w:val="00BE0DDB"/>
    <w:rsid w:val="00BE4C2B"/>
    <w:rsid w:val="00BE53B9"/>
    <w:rsid w:val="00BE631D"/>
    <w:rsid w:val="00C00C07"/>
    <w:rsid w:val="00C01D5B"/>
    <w:rsid w:val="00C034EF"/>
    <w:rsid w:val="00C107E2"/>
    <w:rsid w:val="00C13782"/>
    <w:rsid w:val="00C14E36"/>
    <w:rsid w:val="00C21215"/>
    <w:rsid w:val="00C22CF8"/>
    <w:rsid w:val="00C23C35"/>
    <w:rsid w:val="00C310C4"/>
    <w:rsid w:val="00C33BA5"/>
    <w:rsid w:val="00C36AFF"/>
    <w:rsid w:val="00C377C8"/>
    <w:rsid w:val="00C51E56"/>
    <w:rsid w:val="00C67018"/>
    <w:rsid w:val="00C73A02"/>
    <w:rsid w:val="00C811EF"/>
    <w:rsid w:val="00C81F6E"/>
    <w:rsid w:val="00C84447"/>
    <w:rsid w:val="00C9043A"/>
    <w:rsid w:val="00C92563"/>
    <w:rsid w:val="00C940F2"/>
    <w:rsid w:val="00CA4090"/>
    <w:rsid w:val="00CA7127"/>
    <w:rsid w:val="00CC3BF8"/>
    <w:rsid w:val="00CC6387"/>
    <w:rsid w:val="00CD6F89"/>
    <w:rsid w:val="00CE46AA"/>
    <w:rsid w:val="00D00714"/>
    <w:rsid w:val="00D01101"/>
    <w:rsid w:val="00D02471"/>
    <w:rsid w:val="00D03AEE"/>
    <w:rsid w:val="00D06F52"/>
    <w:rsid w:val="00D115A6"/>
    <w:rsid w:val="00D11E65"/>
    <w:rsid w:val="00D13B58"/>
    <w:rsid w:val="00D13F70"/>
    <w:rsid w:val="00D1563B"/>
    <w:rsid w:val="00D17B99"/>
    <w:rsid w:val="00D17E35"/>
    <w:rsid w:val="00D23B1E"/>
    <w:rsid w:val="00D32DEF"/>
    <w:rsid w:val="00D3361D"/>
    <w:rsid w:val="00D35240"/>
    <w:rsid w:val="00D354FD"/>
    <w:rsid w:val="00D42A16"/>
    <w:rsid w:val="00D43B2C"/>
    <w:rsid w:val="00D468D1"/>
    <w:rsid w:val="00D53E16"/>
    <w:rsid w:val="00D54BCC"/>
    <w:rsid w:val="00D55230"/>
    <w:rsid w:val="00D65380"/>
    <w:rsid w:val="00D66C99"/>
    <w:rsid w:val="00D82356"/>
    <w:rsid w:val="00DA04C5"/>
    <w:rsid w:val="00DA3271"/>
    <w:rsid w:val="00DA3CF3"/>
    <w:rsid w:val="00DB11B1"/>
    <w:rsid w:val="00DB19A9"/>
    <w:rsid w:val="00DB2380"/>
    <w:rsid w:val="00DB4DA9"/>
    <w:rsid w:val="00DC3AA7"/>
    <w:rsid w:val="00DC7DDA"/>
    <w:rsid w:val="00DE1604"/>
    <w:rsid w:val="00DF362F"/>
    <w:rsid w:val="00DF7A34"/>
    <w:rsid w:val="00E07EBC"/>
    <w:rsid w:val="00E16BF6"/>
    <w:rsid w:val="00E20845"/>
    <w:rsid w:val="00E3034A"/>
    <w:rsid w:val="00E33924"/>
    <w:rsid w:val="00E37222"/>
    <w:rsid w:val="00E41B09"/>
    <w:rsid w:val="00E42EF2"/>
    <w:rsid w:val="00E4554E"/>
    <w:rsid w:val="00E5060C"/>
    <w:rsid w:val="00E50C48"/>
    <w:rsid w:val="00E50D85"/>
    <w:rsid w:val="00E632F8"/>
    <w:rsid w:val="00E67710"/>
    <w:rsid w:val="00E71D3E"/>
    <w:rsid w:val="00E728E8"/>
    <w:rsid w:val="00E767FF"/>
    <w:rsid w:val="00E87716"/>
    <w:rsid w:val="00E91835"/>
    <w:rsid w:val="00E93CE5"/>
    <w:rsid w:val="00E97391"/>
    <w:rsid w:val="00EA28B1"/>
    <w:rsid w:val="00EB17A5"/>
    <w:rsid w:val="00EB1C22"/>
    <w:rsid w:val="00EB6508"/>
    <w:rsid w:val="00EC51BD"/>
    <w:rsid w:val="00EC687C"/>
    <w:rsid w:val="00EC7D25"/>
    <w:rsid w:val="00ED1373"/>
    <w:rsid w:val="00ED15CE"/>
    <w:rsid w:val="00ED2C34"/>
    <w:rsid w:val="00ED5789"/>
    <w:rsid w:val="00EE1ABD"/>
    <w:rsid w:val="00EE3110"/>
    <w:rsid w:val="00EE4939"/>
    <w:rsid w:val="00EF06CB"/>
    <w:rsid w:val="00EF19B2"/>
    <w:rsid w:val="00EF49B0"/>
    <w:rsid w:val="00EF4B0C"/>
    <w:rsid w:val="00EF59D0"/>
    <w:rsid w:val="00EF725C"/>
    <w:rsid w:val="00F044EB"/>
    <w:rsid w:val="00F0597B"/>
    <w:rsid w:val="00F062F9"/>
    <w:rsid w:val="00F12308"/>
    <w:rsid w:val="00F23686"/>
    <w:rsid w:val="00F23D7D"/>
    <w:rsid w:val="00F25689"/>
    <w:rsid w:val="00F26689"/>
    <w:rsid w:val="00F304D0"/>
    <w:rsid w:val="00F33048"/>
    <w:rsid w:val="00F437AD"/>
    <w:rsid w:val="00F46CD7"/>
    <w:rsid w:val="00F473A2"/>
    <w:rsid w:val="00F474B7"/>
    <w:rsid w:val="00F540AB"/>
    <w:rsid w:val="00F6167D"/>
    <w:rsid w:val="00F61BFF"/>
    <w:rsid w:val="00F748B7"/>
    <w:rsid w:val="00F75FF0"/>
    <w:rsid w:val="00F81F80"/>
    <w:rsid w:val="00FA0B16"/>
    <w:rsid w:val="00FA2DF3"/>
    <w:rsid w:val="00FA3315"/>
    <w:rsid w:val="00FB6D1B"/>
    <w:rsid w:val="00FC41E0"/>
    <w:rsid w:val="00FC50F7"/>
    <w:rsid w:val="00FC6E3D"/>
    <w:rsid w:val="00FD21FE"/>
    <w:rsid w:val="00FD2621"/>
    <w:rsid w:val="00FD65FF"/>
    <w:rsid w:val="00FE1452"/>
    <w:rsid w:val="00FE4E58"/>
    <w:rsid w:val="00FF072D"/>
    <w:rsid w:val="00FF47C5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FA5E"/>
  <w15:docId w15:val="{9FBD5C0A-40D2-43AF-8238-DF8BCFC5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F7"/>
  </w:style>
  <w:style w:type="paragraph" w:styleId="Footer">
    <w:name w:val="footer"/>
    <w:basedOn w:val="Normal"/>
    <w:link w:val="FooterChar"/>
    <w:uiPriority w:val="99"/>
    <w:unhideWhenUsed/>
    <w:rsid w:val="00FC5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F7"/>
  </w:style>
  <w:style w:type="paragraph" w:styleId="NormalWeb">
    <w:name w:val="Normal (Web)"/>
    <w:basedOn w:val="Normal"/>
    <w:uiPriority w:val="99"/>
    <w:unhideWhenUsed/>
    <w:rsid w:val="00B96E2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67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0EFF"/>
    <w:rPr>
      <w:color w:val="605E5C"/>
      <w:shd w:val="clear" w:color="auto" w:fill="E1DFDD"/>
    </w:rPr>
  </w:style>
  <w:style w:type="paragraph" w:customStyle="1" w:styleId="Default">
    <w:name w:val="Default"/>
    <w:rsid w:val="008E0100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C37E6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98C"/>
    <w:pPr>
      <w:widowControl/>
      <w:spacing w:after="0"/>
    </w:pPr>
    <w:rPr>
      <w:rFonts w:ascii="Calibri" w:hAnsi="Calibri" w:cs="Calibri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98C"/>
    <w:rPr>
      <w:rFonts w:ascii="Calibri" w:hAnsi="Calibri" w:cs="Calibri"/>
      <w:b/>
      <w:bCs/>
      <w:sz w:val="20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547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501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7078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CDC9-F182-4CFF-8DC7-B4C880F985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2287</Words>
  <Characters>13974</Characters>
  <Application>Microsoft Office Word</Application>
  <DocSecurity>0</DocSecurity>
  <Lines>665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Stollery</dc:creator>
  <cp:lastModifiedBy>Zain Iqbal</cp:lastModifiedBy>
  <cp:revision>99</cp:revision>
  <dcterms:created xsi:type="dcterms:W3CDTF">2024-12-11T16:47:00Z</dcterms:created>
  <dcterms:modified xsi:type="dcterms:W3CDTF">2026-01-09T11:21:00Z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LastSaved">
    <vt:filetime>2018-08-13T00:00:00Z</vt:filetime>
  </property>
</Properties>
</file>